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KARG</w:t>
      </w:r>
    </w:p>
    <w:p>
      <w:r>
        <w:rPr>
          <w:color w:val="555555"/>
          <w:sz w:val="18"/>
        </w:rPr>
        <w:t xml:space="preserve">Gesetz über Kassenarztrecht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bis zum Inkrafttreten dieses Gesetzes auf Grund der bisherigen Bestimmungen ausgesprochenen Zulassungen zur kassenärztlichen Tätigkeit gelten als Zulassungen im Sinne dieses Gesetzes; ...</w:t>
      </w:r>
    </w:p>
    <w:p>
      <w:r>
        <w:t xml:space="preserve">(2) u. (3)</w:t>
      </w:r>
    </w:p>
    <w:p>
      <w:r>
        <w:rPr>
          <w:color w:val="555555"/>
          <w:sz w:val="17"/>
        </w:rPr>
        <w:t xml:space="preserve">Zitiervorschlag: § 11 KARG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