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KARG</w:t>
      </w:r>
    </w:p>
    <w:p>
      <w:r>
        <w:rPr>
          <w:color w:val="555555"/>
          <w:sz w:val="18"/>
        </w:rPr>
        <w:t xml:space="preserve">Gesetz über Kassenarztrecht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 Mit dem gleichen Tag treten die bisherigen bundes- und landesrechtlichen Vorschriften über das Kassenarztrecht außer Kraft, soweit in den folgenden Vorschriften nichts Abweichendes bestimmt ist. Landesrechtliche Regelungen über die Altersversorgung der Kassenärzte bleiben unberührt.</w:t>
      </w:r>
    </w:p>
    <w:p>
      <w:r>
        <w:rPr>
          <w:color w:val="555555"/>
          <w:sz w:val="17"/>
        </w:rPr>
        <w:t xml:space="preserve">Zitiervorschlag: § 1 KARG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