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KARBV</w:t>
      </w:r>
    </w:p>
    <w:p>
      <w:r>
        <w:rPr>
          <w:color w:val="555555"/>
          <w:sz w:val="18"/>
        </w:rPr>
        <w:t xml:space="preserve">Kapitalanlage-Rechnungslegungs- und -Bewertungsverordnung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Bundesanstalt für Finanzdienstleistungsaufsicht verordnet auf Grund</w:t>
      </w:r>
    </w:p>
    <w:p>
      <w:pPr>
        <w:ind w:left="420"/>
      </w:pPr>
      <w:r>
        <w:t xml:space="preserve">– des § 96 Absatz 4 Satz 1 und des § 168 Absatz 8 Satz 1 des Kapitalanlagegesetzbuches vom 4. Juli 2013 (BGBl. I S. 1981) sowie</w:t>
      </w:r>
    </w:p>
    <w:p>
      <w:pPr>
        <w:ind w:left="420"/>
      </w:pPr>
      <w:r>
        <w:t xml:space="preserve">– des § 106 Satz 1, des § 120 Absatz 8 Satz 1, dieser auch in Verbindung mit § 148 Absatz 1, und des § 135 Absatz 11 Satz 1, dieser auch in Verbindung mit § 158 Satz 1 des Kapitalanlagegesetzbuches vom 4. Juli 2013 (BGBl. I S. 1981) im Einvernehmen mit dem Bundesministerium der Justiz,</w:t>
      </w:r>
    </w:p>
    <w:p>
      <w:r>
        <w:t xml:space="preserve">jeweils in Verbindung mit § 1 Nummer 3a der Verordnung zur Übertragung von Befugnissen zum Erlass von Rechtsverordnungen auf die Bundesanstalt für Finanzdienstleistungsaufsicht, der zuletzt durch Artikel 1 der Verordnung vom 11. Juli 2013 (BGBl. I S. 2231) geändert worden ist:</w:t>
      </w:r>
    </w:p>
    <w:p>
      <w:r>
        <w:rPr>
          <w:color w:val="555555"/>
          <w:sz w:val="17"/>
        </w:rPr>
        <w:t xml:space="preserve">Zitiervorschlag: Eingangsformel KARBV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https://recht.nulegal.eu/gesetze/KARBV/eingangsformel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