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KARBV — Verantwortung und Zweck</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Die Aufstellung des Jahresberichts gemäß § 101 des Kapitalanlagegesetzbuches (Jahresbericht) einschließlich der der Vermögensaufstellung zugrunde liegenden Bewertungen liegt in der Verantwortung der Kapitalverwaltungsgesellschaft, die das Sondervermögen verwaltet. Die Aufstellung des Abwicklungsberichts liegt in der Verantwortung der Verwahrstelle.</w:t>
      </w:r>
    </w:p>
    <w:p>
      <w:r>
        <w:t xml:space="preserve">(2) Der Jahresbericht dient</w:t>
      </w:r>
    </w:p>
    <w:p>
      <w:pPr>
        <w:ind w:left="420"/>
      </w:pPr>
      <w:r>
        <w:t xml:space="preserve">1. der Darstellung der Tätigkeit der Kapitalverwaltungsgesellschaft im Rahmen der Verwaltung des Sondervermögens sowie</w:t>
      </w:r>
    </w:p>
    <w:p>
      <w:pPr>
        <w:ind w:left="420"/>
      </w:pPr>
      <w:r>
        <w:t xml:space="preserve">2. der umfassenden Information über Inhalt und Umfang der Tätigkeit nach Nummer 1, über den Wert des Sondervermögens, die durchgeführten Geschäfte, die Ergebnisse im abgelaufenen Geschäftsjahr und die bisherige Entwicklung des Sondervermögens.</w:t>
      </w:r>
    </w:p>
    <w:p>
      <w:r>
        <w:rPr>
          <w:color w:val="555555"/>
          <w:sz w:val="17"/>
        </w:rPr>
        <w:t xml:space="preserve">Zitiervorschlag: § 6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