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KARBV — Investmentrechtliche Rechnungslegung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investmentrechtliche Rechnungslegung sind die formellen Grundsätze ordnungsmäßiger Buchführung anzuwenden, soweit sich aus dem Kapitalanlagegesetzbuch und dieser Verordnung sowie hinsichtlich der AIF auch aus der Verordnung (EU) Nr. 231/2013 nichts anderes ergibt. Bei der investmentrechtlichen Rechnungslegung ist der Grundsatz der Stetigkeit zu beachten.</w:t>
      </w:r>
    </w:p>
    <w:p>
      <w:r>
        <w:t xml:space="preserve">(2) Die Buchführung ist auf die Anforderungen hinsichtlich der Berichte nach dem Kapitalanlagegesetzbuch auszurichten und muss vollständig, richtig, zeitgerecht, geordnet und nachvollziehbar sein sowie eine Nachprüfbarkeit durch sachverständige Dritte ermöglichen.</w:t>
      </w:r>
    </w:p>
    <w:p>
      <w:r>
        <w:rPr>
          <w:color w:val="555555"/>
          <w:sz w:val="17"/>
        </w:rPr>
        <w:t xml:space="preserve">Zitiervorschlag: § 5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