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KARBV — Einreichung bei der Bundesanstalt</w:t>
      </w:r>
    </w:p>
    <w:p>
      <w:r>
        <w:rPr>
          <w:color w:val="555555"/>
          <w:sz w:val="18"/>
        </w:rPr>
        <w:t xml:space="preserve">Kapitalanlage-Rechnungslegungs- und -Bewertungsverordnung</w:t>
      </w:r>
    </w:p>
    <w:p>
      <w:r>
        <w:rPr>
          <w:color w:val="555555"/>
          <w:sz w:val="18"/>
        </w:rPr>
        <w:t xml:space="preserve">Stand: 25.06.2023 (konsolidierte Textfassung, kein amtliches Inkrafttretensdatum)</w:t>
      </w:r>
    </w:p>
    <w:p>
      <w:r>
        <w:t xml:space="preserve">(1) Die Berichte nach § 1 Nummer 1 sind von der Geschäftsleitung eigenhändig zu unterschreiben. Die Unterschriften sind am Ende des jeweiligen Berichts zu platzieren. Bei Berichten, die Sondervermögen betreffen, reicht es aus, wenn die Unterschriften von Geschäftsleiterinnen und Geschäftsleitern in vertretungsberechtigter Zahl geleistet werden.</w:t>
      </w:r>
    </w:p>
    <w:p>
      <w:r>
        <w:t xml:space="preserve">(2) Halbjahresberichte zu Publikumsinvestmentvermögen werden der Bundesanstalt ausschließlich elektronisch über ein von ihr bereitgestelltes elektronisches Kommunikationsverfahren übermittelt. Sofern die Bundesanstalt Berichte nach § 1 Nummer 1 zu inländischen Spezial-AIF anfordert, sind ihr diese ebenfalls über das elektronische Kommunikationsverfahren zu übermitteln.</w:t>
      </w:r>
    </w:p>
    <w:p>
      <w:r>
        <w:rPr>
          <w:color w:val="555555"/>
          <w:sz w:val="17"/>
        </w:rPr>
        <w:t xml:space="preserve">Zitiervorschlag: § 4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