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KARBV — Besonderheiten bei Anlagen von Spezial-AIF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32 gilt entsprechend für offene inländische Spezial-AIF mit festen Anlagebedingungen, die in Vermögensgegenständen gemäß § 284 Absatz 2 Nummer 2 Buchstabe e, f, h und i des Kapitalanlagegesetzbuches anlegen, soweit eine Abweichung von den gesetzlichen Vorschriften nach § 284 Absatz 2 des Kapitalanlagegesetzbuches vereinbart wurde.</w:t>
      </w:r>
    </w:p>
    <w:p>
      <w:r>
        <w:t xml:space="preserve">(2) § 32 gilt entsprechend für allgemeine offene inländische Spezial-AIF und für geschlossene inländische Spezial-AIF, die in entsprechenden Vermögensgegenständen im Sinne des Absatzes 1 anlegen.</w:t>
      </w:r>
    </w:p>
    <w:p>
      <w:r>
        <w:t xml:space="preserve">(3) Die Absätze 1 und 2 gelten für die Bewertung von Vermögensgegenständen gemäß § 284 Absatz 2 Nummer 2 Buchstabe e des Kapitalanlagegesetzbuches mit der Maßgabe, dass diese Vermögensgegenstände stets nach den anerkannten Grundsätzen für die Immobilien-Bewertung zu bewerten sind.</w:t>
      </w:r>
    </w:p>
    <w:p>
      <w:r>
        <w:rPr>
          <w:color w:val="555555"/>
          <w:sz w:val="17"/>
        </w:rPr>
        <w:t xml:space="preserve">Zitiervorschlag: § 34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