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KARBV — Besonderheiten bei Vermögensgegenständen mit dem Charakter einer unternehmerischen Beteiligung</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Für die Zwecke des § 261 Absatz 6 Satz 1 und des § 271 des Kapitalanlagegesetzbuches sind Verkehrswerte für Unternehmensbeteiligungen gemäß § 261 Absatz 1 Nummer 4 des Kapitalanlagegesetzbuches (Vermögensgegenstände mit dem Charakter einer unternehmerischen Beteiligung) nach anerkannten Grundsätzen für die Unternehmensbewertung zu ermitteln. Dabei ist Folgendes zu dokumentieren:</w:t>
      </w:r>
    </w:p>
    <w:p>
      <w:pPr>
        <w:ind w:left="420"/>
      </w:pPr>
      <w:r>
        <w:t xml:space="preserve">1. die Kriterien und die Methode für die Wertermittlung,</w:t>
      </w:r>
    </w:p>
    <w:p>
      <w:pPr>
        <w:ind w:left="420"/>
      </w:pPr>
      <w:r>
        <w:t xml:space="preserve">2. die für die Wertermittlung verwendeten Parameter,</w:t>
      </w:r>
    </w:p>
    <w:p>
      <w:pPr>
        <w:ind w:left="420"/>
      </w:pPr>
      <w:r>
        <w:t xml:space="preserve">3. die am Markt beobachteten Bezugsquellen für die Parameter und</w:t>
      </w:r>
    </w:p>
    <w:p>
      <w:pPr>
        <w:ind w:left="420"/>
      </w:pPr>
      <w:r>
        <w:t xml:space="preserve">4. die Berechnung des Wertes auf den Erwerbszeitpunkt.</w:t>
      </w:r>
    </w:p>
    <w:p>
      <w:r>
        <w:t xml:space="preserve">(2) Für Vermögensgegenstände mit dem Charakter einer unternehmerischen Beteiligung ist zum Zeitpunkt des Erwerbs als Verkehrswert der Kaufpreis einschließlich der Anschaffungsnebenkosten anzusetzen. Der Wert dieser Vermögensgegenstände ist spätestens nach Ablauf von zwölf Monaten nach dem Erwerb oder nach der letzten Bewertung erneut zu ermitteln und als Verkehrswert anzusetzen. Abweichend hiervon ist der Wert erneut zu ermitteln, wenn der Ansatz des zuletzt ermittelten Wertes auf Grund von Änderungen wesentlicher Bewertungsfaktoren nicht mehr sachgerecht ist. Die Kapitalverwaltungsgesellschaft hat ihre Entscheidung und die sie tragenden Gründe nachvollziehbar zu dokumentieren.</w:t>
      </w:r>
    </w:p>
    <w:p>
      <w:r>
        <w:rPr>
          <w:color w:val="555555"/>
          <w:sz w:val="17"/>
        </w:rPr>
        <w:t xml:space="preserve">Zitiervorschlag: § 32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