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KARBV — Anhang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Investmentaktiengesellschaften mit veränderlichem Kapital, die über Teilgesellschaftsvermögen verfügen, und offene Investmentkommanditgesellschaften, die über Teilgesellschaftsvermögen verfügen, müssen im Anhang des Jahresabschlusses die Angaben nach den Absätzen 2 bis 5 sowie nach § 7 Satz 1 Nummer 9 für jedes Teilgesellschaftsvermögen gesondert machen.</w:t>
      </w:r>
    </w:p>
    <w:p>
      <w:r>
        <w:t xml:space="preserve">(2) § 285 des Handelsgesetzbuches ist nur auf das Investmentbetriebsvermögen nach § 21 Absatz 1 Satz 1 anzuwenden.</w:t>
      </w:r>
    </w:p>
    <w:p>
      <w:r>
        <w:t xml:space="preserve">(3) In den Anhang des Jahresabschlusses der Investmentaktiengesellschaft mit veränderlichem Kapital und der offenen Investmentkommanditgesellschaft sind folgende Angaben ergänzend aufzunehmen, soweit Teilgesellschaftsvermögen gebildet wurden ausschließlich getrennt nach Teilgesellschaftsvermögen:</w:t>
      </w:r>
    </w:p>
    <w:p>
      <w:pPr>
        <w:ind w:left="420"/>
      </w:pPr>
      <w:r>
        <w:t xml:space="preserve">1. die Vermögensaufstellung nach § 10 Absatz 1;</w:t>
      </w:r>
    </w:p>
    <w:p>
      <w:pPr>
        <w:ind w:left="420"/>
      </w:pPr>
      <w:r>
        <w:t xml:space="preserve">2. die Aufstellung der während des Berichtszeitraums abgeschlossenen Geschäfte, die nicht mehr Gegenstand der Vermögensaufstellung sind, nach § 7 Satz 1 Nummer 8;</w:t>
      </w:r>
    </w:p>
    <w:p>
      <w:pPr>
        <w:ind w:left="420"/>
      </w:pPr>
      <w:r>
        <w:t xml:space="preserve">3. die Gewinnverwendungsrechnung der Investmentaktiengesellschaft mit veränderlichem Kapital oder der offenen Investmentkommanditgesellschaft entsprechend den Vorschriften über die Verwendungsrechnung für das Sondervermögen nach § 101 Absatz 1 Satz 3 Nummer 5 des Kapitalanlagegesetzbuches in Verbindung mit § 11;</w:t>
      </w:r>
    </w:p>
    <w:p>
      <w:pPr>
        <w:ind w:left="420"/>
      </w:pPr>
      <w:r>
        <w:t xml:space="preserve">4. die Übersicht über die Entwicklung der Investmentaktiengesellschaft mit veränderlichem Kapital oder der offenen Investmentkommanditgesellschaft nach § 13;</w:t>
      </w:r>
    </w:p>
    <w:p>
      <w:pPr>
        <w:ind w:left="420"/>
      </w:pPr>
      <w:r>
        <w:t xml:space="preserve">5. die vergleichende Übersicht der letzten drei Geschäftsjahre nach § 14.</w:t>
      </w:r>
    </w:p>
    <w:p>
      <w:r>
        <w:t xml:space="preserve">In den Anhang des Jahresabschlusses der Investmentaktiengesellschaft mit fixem Kapital und der geschlossenen Investmentkommanditgesellschaft sind nur die Angaben nach Satz 1 Nummer 5 aufzunehmen.</w:t>
      </w:r>
    </w:p>
    <w:p>
      <w:r>
        <w:t xml:space="preserve">(4) Die Kapitalkonten der Kommanditisten sowie der Komplementäre der Investmentkommanditgesellschaft sind entsprechend der gesellschaftsvertraglichen Regelung darzustellen.</w:t>
      </w:r>
    </w:p>
    <w:p>
      <w:r>
        <w:t xml:space="preserve">(5) In den Anhang eines Berichts einer Investmentaktiengesellschaft mit fixem Kapital und einer geschlossenen Investmentkommanditgesellschaft mit Anlagen in entsprechenden Vermögensgegenständen sind folgende Angaben ergänzend aufzunehmen:</w:t>
      </w:r>
    </w:p>
    <w:p>
      <w:pPr>
        <w:ind w:left="420"/>
      </w:pPr>
      <w:r>
        <w:t xml:space="preserve">1. bei einer Investition in Immobilien der Bestand der zum Investmentvermögen gehörenden Immobilien und sonstigen Vermögensgegenstände unter Angabe</w:t>
      </w:r>
    </w:p>
    <w:p>
      <w:pPr>
        <w:ind w:left="780"/>
      </w:pPr>
      <w:r>
        <w:t xml:space="preserve">a) der Grundstücksgröße,</w:t>
      </w:r>
    </w:p>
    <w:p>
      <w:pPr>
        <w:ind w:left="780"/>
      </w:pPr>
      <w:r>
        <w:t xml:space="preserve">b) von Art und Lage,</w:t>
      </w:r>
    </w:p>
    <w:p>
      <w:pPr>
        <w:ind w:left="780"/>
      </w:pPr>
      <w:r>
        <w:t xml:space="preserve">c) von Bau und Erwerbsjahr,</w:t>
      </w:r>
    </w:p>
    <w:p>
      <w:pPr>
        <w:ind w:left="780"/>
      </w:pPr>
      <w:r>
        <w:t xml:space="preserve">d) der Gebäudenutzfläche,</w:t>
      </w:r>
    </w:p>
    <w:p>
      <w:pPr>
        <w:ind w:left="780"/>
      </w:pPr>
      <w:r>
        <w:t xml:space="preserve">e) der Leerstandsquote,</w:t>
      </w:r>
    </w:p>
    <w:p>
      <w:pPr>
        <w:ind w:left="780"/>
      </w:pPr>
      <w:r>
        <w:t xml:space="preserve">f) der Nutzungsausfallentgeltquote,</w:t>
      </w:r>
    </w:p>
    <w:p>
      <w:pPr>
        <w:ind w:left="780"/>
      </w:pPr>
      <w:r>
        <w:t xml:space="preserve">g) der Fremdfinanzierungsquote,</w:t>
      </w:r>
    </w:p>
    <w:p>
      <w:pPr>
        <w:ind w:left="780"/>
      </w:pPr>
      <w:r>
        <w:t xml:space="preserve">h) der Restlaufzeiten der Nutzungsverträge,</w:t>
      </w:r>
    </w:p>
    <w:p>
      <w:pPr>
        <w:ind w:left="780"/>
      </w:pPr>
      <w:r>
        <w:t xml:space="preserve">i) des Verkehrswertes oder im Falle des § 271 Absatz 1 Nummer 1 Satz 1 des Kapitalanlagegesetzbuches des Kaufpreises,</w:t>
      </w:r>
    </w:p>
    <w:p>
      <w:pPr>
        <w:ind w:left="780"/>
      </w:pPr>
      <w:r>
        <w:t xml:space="preserve">j) der Nebenkosten bei Anschaffung von Vermögensgegenständen im Sinne des § 261 Absatz 1 Nummer 3 und Absatz 2 Nummer 1 des Kapitalanlagegesetzbuches,</w:t>
      </w:r>
    </w:p>
    <w:p>
      <w:pPr>
        <w:ind w:left="780"/>
      </w:pPr>
      <w:r>
        <w:t xml:space="preserve">k) der wesentlichen Ergebnisse der nach Maßgabe dieses Abschnittes erstellten Wertgutachten,</w:t>
      </w:r>
    </w:p>
    <w:p>
      <w:pPr>
        <w:ind w:left="780"/>
      </w:pPr>
      <w:r>
        <w:t xml:space="preserve">l) etwaiger Bestands- und Projektentwicklungsmaßnahmen;</w:t>
      </w:r>
    </w:p>
    <w:p>
      <w:pPr>
        <w:ind w:left="420"/>
      </w:pPr>
      <w:r>
        <w:t xml:space="preserve">2. bei einer Investition in Wald, Forst und Agrarland die Angabe</w:t>
      </w:r>
    </w:p>
    <w:p>
      <w:pPr>
        <w:ind w:left="780"/>
      </w:pPr>
      <w:r>
        <w:t xml:space="preserve">a) der Grundstücksgröße,</w:t>
      </w:r>
    </w:p>
    <w:p>
      <w:pPr>
        <w:ind w:left="780"/>
      </w:pPr>
      <w:r>
        <w:t xml:space="preserve">b) der Lage und Nutzung,</w:t>
      </w:r>
    </w:p>
    <w:p>
      <w:pPr>
        <w:ind w:left="780"/>
      </w:pPr>
      <w:r>
        <w:t xml:space="preserve">c) der Art der Bepflanzung,</w:t>
      </w:r>
    </w:p>
    <w:p>
      <w:pPr>
        <w:ind w:left="780"/>
      </w:pPr>
      <w:r>
        <w:t xml:space="preserve">d) des Durchschnittsalters des Baumbestandes,</w:t>
      </w:r>
    </w:p>
    <w:p>
      <w:pPr>
        <w:ind w:left="780"/>
      </w:pPr>
      <w:r>
        <w:t xml:space="preserve">e) der Fremdfinanzierungsquote;</w:t>
      </w:r>
    </w:p>
    <w:p>
      <w:pPr>
        <w:ind w:left="420"/>
      </w:pPr>
      <w:r>
        <w:t xml:space="preserve">3. bei einer Investition in Schiffe die Angabe</w:t>
      </w:r>
    </w:p>
    <w:p>
      <w:pPr>
        <w:ind w:left="780"/>
      </w:pPr>
      <w:r>
        <w:t xml:space="preserve">a) des Schiffstyps,</w:t>
      </w:r>
    </w:p>
    <w:p>
      <w:pPr>
        <w:ind w:left="780"/>
      </w:pPr>
      <w:r>
        <w:t xml:space="preserve">b) der Schiffsgröße,</w:t>
      </w:r>
    </w:p>
    <w:p>
      <w:pPr>
        <w:ind w:left="780"/>
      </w:pPr>
      <w:r>
        <w:t xml:space="preserve">c) der Tragfähigkeit,</w:t>
      </w:r>
    </w:p>
    <w:p>
      <w:pPr>
        <w:ind w:left="780"/>
      </w:pPr>
      <w:r>
        <w:t xml:space="preserve">d) des Leergewichts,</w:t>
      </w:r>
    </w:p>
    <w:p>
      <w:pPr>
        <w:ind w:left="780"/>
      </w:pPr>
      <w:r>
        <w:t xml:space="preserve">e) von Bau- und Erwerbsjahr,</w:t>
      </w:r>
    </w:p>
    <w:p>
      <w:pPr>
        <w:ind w:left="780"/>
      </w:pPr>
      <w:r>
        <w:t xml:space="preserve">f) der Klassifikation und des Jahres der letzten Klassedockung,</w:t>
      </w:r>
    </w:p>
    <w:p>
      <w:pPr>
        <w:ind w:left="780"/>
      </w:pPr>
      <w:r>
        <w:t xml:space="preserve">g) der technischen Spezifikationen,</w:t>
      </w:r>
    </w:p>
    <w:p>
      <w:pPr>
        <w:ind w:left="780"/>
      </w:pPr>
      <w:r>
        <w:t xml:space="preserve">h) von Aussagen zu notwendigen Investitionen zur Einhaltung von bestehenden und künftigen Umweltstandards,</w:t>
      </w:r>
    </w:p>
    <w:p>
      <w:pPr>
        <w:ind w:left="780"/>
      </w:pPr>
      <w:r>
        <w:t xml:space="preserve">i) der Restlaufzeit des Chartervertrages,</w:t>
      </w:r>
    </w:p>
    <w:p>
      <w:pPr>
        <w:ind w:left="780"/>
      </w:pPr>
      <w:r>
        <w:t xml:space="preserve">j) der Nettocharterrate nach Befrachtungskommissionen,</w:t>
      </w:r>
    </w:p>
    <w:p>
      <w:pPr>
        <w:ind w:left="780"/>
      </w:pPr>
      <w:r>
        <w:t xml:space="preserve">k) der Restlaufzeit des Bereederungsvertrages und der Höhe der Bereederungsgebühr,</w:t>
      </w:r>
    </w:p>
    <w:p>
      <w:pPr>
        <w:ind w:left="780"/>
      </w:pPr>
      <w:r>
        <w:t xml:space="preserve">l) des Orts der Registrierung im Seeschiffsregister,</w:t>
      </w:r>
    </w:p>
    <w:p>
      <w:pPr>
        <w:ind w:left="780"/>
      </w:pPr>
      <w:r>
        <w:t xml:space="preserve">m) der Fremdfinanzierungsquote,</w:t>
      </w:r>
    </w:p>
    <w:p>
      <w:pPr>
        <w:ind w:left="780"/>
      </w:pPr>
      <w:r>
        <w:t xml:space="preserve">n) des Verkehrswertes oder im Falle des § 271 Absatz 1 Nummer 1 des Kapitalanlagegesetzbuches des Kaufpreises,</w:t>
      </w:r>
    </w:p>
    <w:p>
      <w:pPr>
        <w:ind w:left="780"/>
      </w:pPr>
      <w:r>
        <w:t xml:space="preserve">o) etwaiger wesentlicher Wartungsarbeiten;</w:t>
      </w:r>
    </w:p>
    <w:p>
      <w:pPr>
        <w:ind w:left="420"/>
      </w:pPr>
      <w:r>
        <w:t xml:space="preserve">4. bei einer Investition in Luftfahrzeuge die Angabe</w:t>
      </w:r>
    </w:p>
    <w:p>
      <w:pPr>
        <w:ind w:left="780"/>
      </w:pPr>
      <w:r>
        <w:t xml:space="preserve">a) des Flugzeugtyps,</w:t>
      </w:r>
    </w:p>
    <w:p>
      <w:pPr>
        <w:ind w:left="780"/>
      </w:pPr>
      <w:r>
        <w:t xml:space="preserve">b) von Bau- und Erwerbsjahr,</w:t>
      </w:r>
    </w:p>
    <w:p>
      <w:pPr>
        <w:ind w:left="780"/>
      </w:pPr>
      <w:r>
        <w:t xml:space="preserve">c) der Fremdfinanzierungsquote,</w:t>
      </w:r>
    </w:p>
    <w:p>
      <w:pPr>
        <w:ind w:left="780"/>
      </w:pPr>
      <w:r>
        <w:t xml:space="preserve">d) der Restlaufzeiten der Nutzungsverträge,</w:t>
      </w:r>
    </w:p>
    <w:p>
      <w:pPr>
        <w:ind w:left="780"/>
      </w:pPr>
      <w:r>
        <w:t xml:space="preserve">e) der Andienungsrechte,</w:t>
      </w:r>
    </w:p>
    <w:p>
      <w:pPr>
        <w:ind w:left="780"/>
      </w:pPr>
      <w:r>
        <w:t xml:space="preserve">f) des Verkehrswertes oder im Falle des § 271 Absatz 1 Nummer 1 des Kapitalanlagegesetzbuches des Kaufpreises,</w:t>
      </w:r>
    </w:p>
    <w:p>
      <w:pPr>
        <w:ind w:left="780"/>
      </w:pPr>
      <w:r>
        <w:t xml:space="preserve">g) etwaiger wesentlicher im Berichtsjahr durchgeführter Wartungsarbeiten;</w:t>
      </w:r>
    </w:p>
    <w:p>
      <w:pPr>
        <w:ind w:left="420"/>
      </w:pPr>
      <w:r>
        <w:t xml:space="preserve">5. bei einer Investition in Anlagen zur Erzeugung, zum Transport und zur Speicherung von Strom, Gas oder Wärme aus erneuerbaren Energien die Angabe</w:t>
      </w:r>
    </w:p>
    <w:p>
      <w:pPr>
        <w:ind w:left="780"/>
      </w:pPr>
      <w:r>
        <w:t xml:space="preserve">a) der Energieart,</w:t>
      </w:r>
    </w:p>
    <w:p>
      <w:pPr>
        <w:ind w:left="780"/>
      </w:pPr>
      <w:r>
        <w:t xml:space="preserve">b) der installierten Leistung und der eingespeisten Energie,</w:t>
      </w:r>
    </w:p>
    <w:p>
      <w:pPr>
        <w:ind w:left="780"/>
      </w:pPr>
      <w:r>
        <w:t xml:space="preserve">c) von Bau- und Erwerbsjahr,</w:t>
      </w:r>
    </w:p>
    <w:p>
      <w:pPr>
        <w:ind w:left="780"/>
      </w:pPr>
      <w:r>
        <w:t xml:space="preserve">d) des Jahres der Inbetriebnahme,</w:t>
      </w:r>
    </w:p>
    <w:p>
      <w:pPr>
        <w:ind w:left="780"/>
      </w:pPr>
      <w:r>
        <w:t xml:space="preserve">e) der Abnehmer der Energie,</w:t>
      </w:r>
    </w:p>
    <w:p>
      <w:pPr>
        <w:ind w:left="780"/>
      </w:pPr>
      <w:r>
        <w:t xml:space="preserve">f) von Art und Umfang der Nutzungsrechte an den Grundstücken, auf denen die Anlage errichtet wurde,</w:t>
      </w:r>
    </w:p>
    <w:p>
      <w:pPr>
        <w:ind w:left="780"/>
      </w:pPr>
      <w:r>
        <w:t xml:space="preserve">g) der Fremdfinanzierungsquote,</w:t>
      </w:r>
    </w:p>
    <w:p>
      <w:pPr>
        <w:ind w:left="780"/>
      </w:pPr>
      <w:r>
        <w:t xml:space="preserve">h) des Verkehrswertes oder im Falle des § 271 Absatz 1 Nummer 1 des Kapitalanlagegesetzbuches des Kaufpreises,</w:t>
      </w:r>
    </w:p>
    <w:p>
      <w:pPr>
        <w:ind w:left="780"/>
      </w:pPr>
      <w:r>
        <w:t xml:space="preserve">i) etwaiger wesentlicher Bestands- und Projektentwicklungsmaßnahmen;</w:t>
      </w:r>
    </w:p>
    <w:p>
      <w:pPr>
        <w:ind w:left="420"/>
      </w:pPr>
      <w:r>
        <w:t xml:space="preserve">6. bei einer Investition in Schienenfahrzeuge, Schienenfahrzeugbestand und -ersatzteile die Angabe</w:t>
      </w:r>
    </w:p>
    <w:p>
      <w:pPr>
        <w:ind w:left="780"/>
      </w:pPr>
      <w:r>
        <w:t xml:space="preserve">a) der Anzahl der Schienenfahrzeuge und Schienenersatzteile,</w:t>
      </w:r>
    </w:p>
    <w:p>
      <w:pPr>
        <w:ind w:left="780"/>
      </w:pPr>
      <w:r>
        <w:t xml:space="preserve">b) der Art,</w:t>
      </w:r>
    </w:p>
    <w:p>
      <w:pPr>
        <w:ind w:left="780"/>
      </w:pPr>
      <w:r>
        <w:t xml:space="preserve">c) von Bau- und Erwerbsjahr,</w:t>
      </w:r>
    </w:p>
    <w:p>
      <w:pPr>
        <w:ind w:left="780"/>
      </w:pPr>
      <w:r>
        <w:t xml:space="preserve">d) des Typs,</w:t>
      </w:r>
    </w:p>
    <w:p>
      <w:pPr>
        <w:ind w:left="780"/>
      </w:pPr>
      <w:r>
        <w:t xml:space="preserve">e) des Jahres der Inbetriebnahme,</w:t>
      </w:r>
    </w:p>
    <w:p>
      <w:pPr>
        <w:ind w:left="780"/>
      </w:pPr>
      <w:r>
        <w:t xml:space="preserve">f) der Leasingnehmer,</w:t>
      </w:r>
    </w:p>
    <w:p>
      <w:pPr>
        <w:ind w:left="780"/>
      </w:pPr>
      <w:r>
        <w:t xml:space="preserve">g) der Fremdfinanzierungsquote,</w:t>
      </w:r>
    </w:p>
    <w:p>
      <w:pPr>
        <w:ind w:left="780"/>
      </w:pPr>
      <w:r>
        <w:t xml:space="preserve">h) der Restlaufzeit des Leasingvertrages,</w:t>
      </w:r>
    </w:p>
    <w:p>
      <w:pPr>
        <w:ind w:left="780"/>
      </w:pPr>
      <w:r>
        <w:t xml:space="preserve">i) des Andienungsrechts;</w:t>
      </w:r>
    </w:p>
    <w:p>
      <w:pPr>
        <w:ind w:left="420"/>
      </w:pPr>
      <w:r>
        <w:t xml:space="preserve">7. bei einer Investition in Fahrzeuge, die im Rahmen der Elektromobilität genutzt werden, die Angabe</w:t>
      </w:r>
    </w:p>
    <w:p>
      <w:pPr>
        <w:ind w:left="780"/>
      </w:pPr>
      <w:r>
        <w:t xml:space="preserve">a) der Anzahl,</w:t>
      </w:r>
    </w:p>
    <w:p>
      <w:pPr>
        <w:ind w:left="780"/>
      </w:pPr>
      <w:r>
        <w:t xml:space="preserve">b) des Typs,</w:t>
      </w:r>
    </w:p>
    <w:p>
      <w:pPr>
        <w:ind w:left="780"/>
      </w:pPr>
      <w:r>
        <w:t xml:space="preserve">c) von Bau- und Erwerbsjahr,</w:t>
      </w:r>
    </w:p>
    <w:p>
      <w:pPr>
        <w:ind w:left="780"/>
      </w:pPr>
      <w:r>
        <w:t xml:space="preserve">d) des Herstellers,</w:t>
      </w:r>
    </w:p>
    <w:p>
      <w:pPr>
        <w:ind w:left="780"/>
      </w:pPr>
      <w:r>
        <w:t xml:space="preserve">e) des Jahres der Inbetriebnahme,</w:t>
      </w:r>
    </w:p>
    <w:p>
      <w:pPr>
        <w:ind w:left="780"/>
      </w:pPr>
      <w:r>
        <w:t xml:space="preserve">f) der Leasingnehmer,</w:t>
      </w:r>
    </w:p>
    <w:p>
      <w:pPr>
        <w:ind w:left="780"/>
      </w:pPr>
      <w:r>
        <w:t xml:space="preserve">g) der Nutzungsentgeltausfallquote,</w:t>
      </w:r>
    </w:p>
    <w:p>
      <w:pPr>
        <w:ind w:left="780"/>
      </w:pPr>
      <w:r>
        <w:t xml:space="preserve">h) der Fremdfinanzierungsquote,</w:t>
      </w:r>
    </w:p>
    <w:p>
      <w:pPr>
        <w:ind w:left="780"/>
      </w:pPr>
      <w:r>
        <w:t xml:space="preserve">i) der Restlaufzeit des Leasingvertrages;</w:t>
      </w:r>
    </w:p>
    <w:p>
      <w:pPr>
        <w:ind w:left="420"/>
      </w:pPr>
      <w:r>
        <w:t xml:space="preserve">8. bei einer Investition in Container die Angabe</w:t>
      </w:r>
    </w:p>
    <w:p>
      <w:pPr>
        <w:ind w:left="780"/>
      </w:pPr>
      <w:r>
        <w:t xml:space="preserve">a) der Anzahl,</w:t>
      </w:r>
    </w:p>
    <w:p>
      <w:pPr>
        <w:ind w:left="780"/>
      </w:pPr>
      <w:r>
        <w:t xml:space="preserve">b) des Typs,</w:t>
      </w:r>
    </w:p>
    <w:p>
      <w:pPr>
        <w:ind w:left="780"/>
      </w:pPr>
      <w:r>
        <w:t xml:space="preserve">c) von Bau- und Erwerbsjahr,</w:t>
      </w:r>
    </w:p>
    <w:p>
      <w:pPr>
        <w:ind w:left="780"/>
      </w:pPr>
      <w:r>
        <w:t xml:space="preserve">d) der Leasingnehmer,</w:t>
      </w:r>
    </w:p>
    <w:p>
      <w:pPr>
        <w:ind w:left="780"/>
      </w:pPr>
      <w:r>
        <w:t xml:space="preserve">e) der Nutzungsentgeltausfallquote,</w:t>
      </w:r>
    </w:p>
    <w:p>
      <w:pPr>
        <w:ind w:left="780"/>
      </w:pPr>
      <w:r>
        <w:t xml:space="preserve">f) der Fremdfinanzierungsquote,</w:t>
      </w:r>
    </w:p>
    <w:p>
      <w:pPr>
        <w:ind w:left="780"/>
      </w:pPr>
      <w:r>
        <w:t xml:space="preserve">g) der Restlaufzeit des Leasingvertrages;</w:t>
      </w:r>
    </w:p>
    <w:p>
      <w:pPr>
        <w:ind w:left="420"/>
      </w:pPr>
      <w:r>
        <w:t xml:space="preserve">9. bei einer Investition in Infrastruktur gemäß § 261 Absatz 2 Nummer 8 des Kapitalanlagegesetzbuches, die Angabe</w:t>
      </w:r>
    </w:p>
    <w:p>
      <w:pPr>
        <w:ind w:left="780"/>
      </w:pPr>
      <w:r>
        <w:t xml:space="preserve">a) der Anzahl,</w:t>
      </w:r>
    </w:p>
    <w:p>
      <w:pPr>
        <w:ind w:left="780"/>
      </w:pPr>
      <w:r>
        <w:t xml:space="preserve">b) von Art oder Typ,</w:t>
      </w:r>
    </w:p>
    <w:p>
      <w:pPr>
        <w:ind w:left="780"/>
      </w:pPr>
      <w:r>
        <w:t xml:space="preserve">c) von Bau- und Erwerbsjahr,</w:t>
      </w:r>
    </w:p>
    <w:p>
      <w:pPr>
        <w:ind w:left="780"/>
      </w:pPr>
      <w:r>
        <w:t xml:space="preserve">d) der Leasingnehmer oder Nutzer,</w:t>
      </w:r>
    </w:p>
    <w:p>
      <w:pPr>
        <w:ind w:left="780"/>
      </w:pPr>
      <w:r>
        <w:t xml:space="preserve">e) der Fremdfinanzierungsquote;</w:t>
      </w:r>
    </w:p>
    <w:p>
      <w:pPr>
        <w:ind w:left="420"/>
      </w:pPr>
      <w:r>
        <w:t xml:space="preserve">10. bei einer Investition in sonstige Sachwerte im Sinne des § 261 Absatz 1 Nummer 1 des Kapitalanlagegesetzbuches, die nicht in dem Katalog des § 261 Absatz 2 des Kapitalanlagegesetzbuches aufgeführt sind, die entsprechenden Angaben nach Satz 1 Nummer 9.</w:t>
      </w:r>
    </w:p>
    <w:p>
      <w:r>
        <w:t xml:space="preserve">Die Angaben nach Satz 1 sind für Sachwerte, die mittelbar nach § 261 Absatz 1 Nummer 3, 5 und 6 des Kapitalanlagegesetzbuches gehalten werden, nachrichtlich aufzuführen und besonders zu kennzeichnen.</w:t>
      </w:r>
    </w:p>
    <w:p>
      <w:r>
        <w:rPr>
          <w:color w:val="555555"/>
          <w:sz w:val="17"/>
        </w:rPr>
        <w:t xml:space="preserve">Zitiervorschlag: § 25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