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KARBV — Verwendungsrechnung und Entwicklungsrechnung bei der Investmentkommanditgesellschaft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einer Investmentkommanditgesellschaft ist die Verwendungsrechnung wie folgt darzustellen; Leerposten können jeweils entfallen:</w:t>
      </w:r>
    </w:p>
    <w:p>
      <w:pPr>
        <w:ind w:left="420"/>
      </w:pPr>
      <w:r>
        <w:t xml:space="preserve">1. Realisiertes Ergebnis des Geschäftsjahres</w:t>
      </w:r>
    </w:p>
    <w:p>
      <w:pPr>
        <w:ind w:left="420"/>
      </w:pPr>
      <w:r>
        <w:t xml:space="preserve">2. Gutschrift/Belastung auf Rücklagenkonten</w:t>
      </w:r>
    </w:p>
    <w:p>
      <w:pPr>
        <w:ind w:left="420"/>
      </w:pPr>
      <w:r>
        <w:t xml:space="preserve">3. Gutschrift/Belastung auf Kapitalkonten</w:t>
      </w:r>
    </w:p>
    <w:p>
      <w:pPr>
        <w:ind w:left="420"/>
      </w:pPr>
      <w:r>
        <w:t xml:space="preserve">4. Gutschrift/Belastung auf Verbindlichkeitenkonten</w:t>
      </w:r>
    </w:p>
    <w:p>
      <w:pPr>
        <w:ind w:left="420"/>
      </w:pPr>
      <w:r>
        <w:t xml:space="preserve">5. Bilanzgewinn/Bilanzverlust.</w:t>
      </w:r>
    </w:p>
    <w:p>
      <w:r>
        <w:t xml:space="preserve">(2) Die Entwicklungsrechnung für das Vermögen der Kommanditisten und der Komplementäre ist jeweils getrennt wie folgt darzustellen; Leerposten können jeweils entfallen:</w:t>
      </w:r>
    </w:p>
    <w:p>
      <w:pPr>
        <w:ind w:left="420"/>
      </w:pPr>
      <w:r>
        <w:t xml:space="preserve">I. Wert des Eigenkapitals am Beginn des Geschäftsjahres</w:t>
      </w:r>
    </w:p>
    <w:p>
      <w:pPr>
        <w:ind w:left="780"/>
      </w:pPr>
      <w:r>
        <w:t xml:space="preserve">1. Entnahmen für das Vorjahr</w:t>
      </w:r>
    </w:p>
    <w:p>
      <w:pPr>
        <w:ind w:left="780"/>
      </w:pPr>
      <w:r>
        <w:t xml:space="preserve">2. Zwischenentnahmen</w:t>
      </w:r>
    </w:p>
    <w:p>
      <w:pPr>
        <w:ind w:left="780"/>
      </w:pPr>
      <w:r>
        <w:t xml:space="preserve">3. Mittelzufluss (netto)</w:t>
      </w:r>
    </w:p>
    <w:p>
      <w:pPr>
        <w:ind w:left="1140"/>
      </w:pPr>
      <w:r>
        <w:t xml:space="preserve">a) Mittelzuflüsse aus Gesellschaftereintritten</w:t>
      </w:r>
    </w:p>
    <w:p>
      <w:pPr>
        <w:ind w:left="1140"/>
      </w:pPr>
      <w:r>
        <w:t xml:space="preserve">b) Mittelabflüsse wegen Gesellschafteraustritten</w:t>
      </w:r>
    </w:p>
    <w:p>
      <w:pPr>
        <w:ind w:left="780"/>
      </w:pPr>
      <w:r>
        <w:t xml:space="preserve">4. Realisiertes Ergebnis des Geschäftsjahres nach Verwendungsrechnung</w:t>
      </w:r>
    </w:p>
    <w:p>
      <w:pPr>
        <w:ind w:left="780"/>
      </w:pPr>
      <w:r>
        <w:t xml:space="preserve">5. Nicht realisiertes Ergebnis des Geschäftsjahres</w:t>
      </w:r>
    </w:p>
    <w:p>
      <w:pPr>
        <w:ind w:left="420"/>
      </w:pPr>
      <w:r>
        <w:t xml:space="preserve">II. Wert des Eigenkapitals am Ende des Geschäftsjahres.</w:t>
      </w:r>
    </w:p>
    <w:p>
      <w:r>
        <w:rPr>
          <w:color w:val="555555"/>
          <w:sz w:val="17"/>
        </w:rPr>
        <w:t xml:space="preserve">Zitiervorschlag: § 24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