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KARBV — Lagebericht</w:t>
      </w:r>
    </w:p>
    <w:p>
      <w:r>
        <w:rPr>
          <w:color w:val="555555"/>
          <w:sz w:val="18"/>
        </w:rPr>
        <w:t xml:space="preserve">Kapitalanlage-Rechnungslegungs- und -Bewertungsverordnung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Investmentaktiengesellschaft und die Investmentkommanditgesellschaft haben unabhängig von ihrer Größenklasse nach den §§ 267, 267a des Handelsgesetzbuches einen Lagebericht nach § 289 des Handelsgesetzbuches aufzustellen.</w:t>
      </w:r>
    </w:p>
    <w:p>
      <w:r>
        <w:t xml:space="preserve">(2) Der Lagebericht der Investmentaktiengesellschaft mit veränderlichem Kapital hat darüber hinaus folgende Angaben zu enthalten:</w:t>
      </w:r>
    </w:p>
    <w:p>
      <w:pPr>
        <w:ind w:left="420"/>
      </w:pPr>
      <w:r>
        <w:t xml:space="preserve">1. die Anzahl der Teilgesellschaftsvermögen sowie deren Fondskategorie;</w:t>
      </w:r>
    </w:p>
    <w:p>
      <w:pPr>
        <w:ind w:left="420"/>
      </w:pPr>
      <w:r>
        <w:t xml:space="preserve">2. die Zuordnung der Unternehmensaktien zum Investmentanlagevermögen und zum Betriebsvermögen, im Falle einer Umbrella-Konstruktion unter Nennung der jeweiligen Teilgesellschaftsvermögen;</w:t>
      </w:r>
    </w:p>
    <w:p>
      <w:pPr>
        <w:ind w:left="420"/>
      </w:pPr>
      <w:r>
        <w:t xml:space="preserve">3. die Angabe, ob die Anlageaktien zur Teilnahme an der Hauptversammlung berechtigen und Stimmrechte gewähren;</w:t>
      </w:r>
    </w:p>
    <w:p>
      <w:pPr>
        <w:ind w:left="420"/>
      </w:pPr>
      <w:r>
        <w:t xml:space="preserve">4. die Anzahl der umlaufenden Aktien, soweit Teilgesellschaftsvermögen gebildet wurden je Teilgesellschaftsvermögen;</w:t>
      </w:r>
    </w:p>
    <w:p>
      <w:pPr>
        <w:ind w:left="420"/>
      </w:pPr>
      <w:r>
        <w:t xml:space="preserve">5. falls eine Kapitalverwaltungsgesellschaft als Verwaltungsgesellschaft benannt wurde,</w:t>
      </w:r>
    </w:p>
    <w:p>
      <w:pPr>
        <w:ind w:left="780"/>
      </w:pPr>
      <w:r>
        <w:t xml:space="preserve">a) Name und Rechtsform der Kapitalverwaltungsgesellschaft,</w:t>
      </w:r>
    </w:p>
    <w:p>
      <w:pPr>
        <w:ind w:left="780"/>
      </w:pPr>
      <w:r>
        <w:t xml:space="preserve">b) wesentliche Merkmale des Verwaltungsvertrages wie Dauer, Kündigungsrechte, Umfang, Verwaltungstätigkeit, Haftungsregelungen, Auslagerungen einzelner Tätigkeiten, Angaben zur Umsetzung der Anlageverwaltung durch die Kapitalverwaltungsgesellschaft,</w:t>
      </w:r>
    </w:p>
    <w:p>
      <w:pPr>
        <w:ind w:left="780"/>
      </w:pPr>
      <w:r>
        <w:t xml:space="preserve">c) Gebühren;</w:t>
      </w:r>
    </w:p>
    <w:p>
      <w:pPr>
        <w:ind w:left="420"/>
      </w:pPr>
      <w:r>
        <w:t xml:space="preserve">6. die Belastung mit Verwaltungskosten, gegebenenfalls gesondert je Teilgesellschaftsvermögen.</w:t>
      </w:r>
    </w:p>
    <w:p>
      <w:r>
        <w:t xml:space="preserve">Der Lagebericht der Investmentaktiengesellschaft mit fixem Kapital hat darüber hinaus die Angaben nach Satz 1 Nummer 4 bis 6 zu enthalten.</w:t>
      </w:r>
    </w:p>
    <w:p>
      <w:r>
        <w:t xml:space="preserve">(3) Der Lagebericht der offenen Investmentkommanditgesellschaft hat darüber hinaus die Angaben nach Absatz 2 Nummer 1, 4, 5 und 6 zu enthalten und der Lagebericht der geschlossenen Investmentkommanditgesellschaft hat darüber hinaus die Angaben nach Absatz 2 Nummer 4, 5, und 6 zu enthalten. Dabei gilt Nummer 4 mit der Maßgabe, dass die Anzahl der umlaufenden Anteile zu nennen ist.</w:t>
      </w:r>
    </w:p>
    <w:p>
      <w:r>
        <w:t xml:space="preserve">(4) Der im Lagebericht enthaltene Bericht über die Tätigkeit der Investmentgesellschaft im abgelaufenen Geschäftsjahr hat den Vorgaben des § 8 zu entsprechen. Bei Teilgesellschaftsvermögen hat die Berichterstattung für jedes Teilgesellschaftsvermögen gesondert zu erfolgen.</w:t>
      </w:r>
    </w:p>
    <w:p>
      <w:r>
        <w:t xml:space="preserve">(5) § 289 Absatz 1 Satz 4 des Handelsgesetzbuches ist nur auf das Investmentbetriebsvermögen nach § 21 Absatz 1 Satz 1 anzuwenden. Bei Aussagen zur Wertentwicklung des Investmentanlagevermögens sind § 165 Absatz 2 Nummer 9 des Kapitalanlagegesetzbuches und § 4 Absatz 4 bis 7 der Wertpapierdienstleistungs-Verhaltens- und -Organisationsverordnung entsprechend anzuwenden.</w:t>
      </w:r>
    </w:p>
    <w:p>
      <w:r>
        <w:rPr>
          <w:color w:val="555555"/>
          <w:sz w:val="17"/>
        </w:rPr>
        <w:t xml:space="preserve">Zitiervorschlag: § 23 KARBV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