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KARBV — Begriffsbestimmungen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Im Sinne dieser Verordnung ist</w:t>
      </w:r>
    </w:p>
    <w:p>
      <w:pPr>
        <w:ind w:left="420"/>
      </w:pPr>
      <w:r>
        <w:t xml:space="preserve">1. Tracking Error die Volatilität der Differenz zwischen der Rendite des Investmentvermögens, das einen Index nachbildet und der Rendite des oder der nachgebildeten Indizes,</w:t>
      </w:r>
    </w:p>
    <w:p>
      <w:pPr>
        <w:ind w:left="420"/>
      </w:pPr>
      <w:r>
        <w:t xml:space="preserve">2. Annual Tracking Difference die Differenz zwischen der Jahresrendite des Investmentvermögens, das einen Index nachbildet und der Jahresrendite des oder der nachgebildeten Indizes,</w:t>
      </w:r>
    </w:p>
    <w:p>
      <w:pPr>
        <w:ind w:left="420"/>
      </w:pPr>
      <w:r>
        <w:t xml:space="preserve">3. ein Index nachbildendes Sondervermögen ein Publikumssondervermögen, dessen Anlagestrategie auf der Nachbildung der Entwicklung eines oder mehrerer Indizes beruht,</w:t>
      </w:r>
    </w:p>
    <w:p>
      <w:pPr>
        <w:ind w:left="420"/>
      </w:pPr>
      <w:r>
        <w:t xml:space="preserve">4. Verkehrswert der Betrag, zu dem der jeweilige Vermögensgegenstand in einem Geschäft zwischen sachverständigen, vertragswilligen und unabhängigen Geschäftspartnern ausgetauscht wird,</w:t>
      </w:r>
    </w:p>
    <w:p>
      <w:pPr>
        <w:ind w:left="420"/>
      </w:pPr>
      <w:r>
        <w:t xml:space="preserve">5. Verkehrswert einer Immobilie der Preis, der zum Zeitpunkt, auf den sich die Ermittlung bezieht, im gewöhnlichen Geschäftsverkehr nach den rechtlichen Gegebenheiten und tatsächlichen Eigenschaften, nach der sonstigen Beschaffenheit und der Lage der Immobilie ohne Rücksicht auf ungewöhnliche oder persönliche Verhältnisse zu erzielen wäre.</w:t>
      </w:r>
    </w:p>
    <w:p>
      <w:r>
        <w:rPr>
          <w:color w:val="555555"/>
          <w:sz w:val="17"/>
        </w:rPr>
        <w:t xml:space="preserve">Zitiervorschlag: § 2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