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KARBV — Auflösungs- und Abwicklungsbericht</w:t>
      </w:r>
    </w:p>
    <w:p>
      <w:r>
        <w:rPr>
          <w:color w:val="555555"/>
          <w:sz w:val="18"/>
        </w:rPr>
        <w:t xml:space="preserve">Kapitalanlage-Rechnungslegungs- und -Bewertungsverordnung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Auf den Auflösungsbericht und den Abwicklungsbericht sind die Vorschriften für den Jahresbericht entsprechend anzuwenden. Darüber hinaus haben Auflösungs- und Abwicklungsberichte eine Übersicht der im Geschäftsjahr an die Anleger durchgeführten Auszahlungen zu enthalten.</w:t>
      </w:r>
    </w:p>
    <w:p>
      <w:r>
        <w:t xml:space="preserve">(2) Ein Abwicklungsbericht ist nicht zu erstellen, wenn zum Abschlussstichtag des Auflösungsberichts alle Anteile zurückgegeben wurden.</w:t>
      </w:r>
    </w:p>
    <w:p>
      <w:r>
        <w:rPr>
          <w:color w:val="555555"/>
          <w:sz w:val="17"/>
        </w:rPr>
        <w:t xml:space="preserve">Zitiervorschlag: § 19 KARBV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https://recht.nulegal.eu/gesetze/KARBV/19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