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KARBV — Halbjahresbericht</w:t>
      </w:r>
    </w:p>
    <w:p>
      <w:r>
        <w:rPr>
          <w:color w:val="555555"/>
          <w:sz w:val="18"/>
        </w:rPr>
        <w:t xml:space="preserve">Kapitalanlage-Rechnungslegungs- und -Bewertungsverordnung</w:t>
      </w:r>
    </w:p>
    <w:p>
      <w:r>
        <w:rPr>
          <w:color w:val="555555"/>
          <w:sz w:val="18"/>
        </w:rPr>
        <w:t xml:space="preserve">Stand: 10.06.2019 (konsolidierte Textfassung, kein amtliches Inkrafttretensdatum)</w:t>
      </w:r>
    </w:p>
    <w:p>
      <w:r>
        <w:t xml:space="preserve">Auf den Halbjahresbericht sind die Vorschriften über den Jahresbericht entsprechend anzuwenden. Der Halbjahresbericht kann ohne Tätigkeitsbericht, Entwicklungsrechnung, Verwendungsrechnung, besonderen Vermerk des Abschlussprüfers und vergleichende Übersicht der letzten drei Geschäftsjahre erstellt werden. Eine Ertrags- und Aufwandsrechnung sowie eine Entwicklungsrechnung sind nur aufzunehmen, wenn im jeweiligen Halbjahr eine Zwischenausschüttung erfolgt ist.</w:t>
      </w:r>
    </w:p>
    <w:p>
      <w:r>
        <w:rPr>
          <w:color w:val="555555"/>
          <w:sz w:val="17"/>
        </w:rPr>
        <w:t xml:space="preserve">Zitiervorschlag: § 17 KARBV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https://recht.nulegal.eu/gesetze/KARBV/17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