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KARBV — Sonstige Angaben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Folgende zusätzliche Angaben sind erforderlich:</w:t>
      </w:r>
    </w:p>
    <w:p>
      <w:pPr>
        <w:ind w:left="420"/>
      </w:pPr>
      <w:r>
        <w:t xml:space="preserve">1. die Anzahl der umlaufenden Anteile zum Ende des Berichtsjahres und der Wert eines Anteils gemäß § 101 Absatz 1 Satz 3 Nummer 3 des Kapitalanlagegesetzbuches;</w:t>
      </w:r>
    </w:p>
    <w:p>
      <w:pPr>
        <w:ind w:left="420"/>
      </w:pPr>
      <w:r>
        <w:t xml:space="preserve">2. die zur Bewertung von Vermögensgegenständen angewendeten Verfahren gemäß den §§ 26 bis 31 und 34;</w:t>
      </w:r>
    </w:p>
    <w:p>
      <w:pPr>
        <w:ind w:left="420"/>
      </w:pPr>
      <w:r>
        <w:t xml:space="preserve">3. die folgenden Angaben zur Transparenz sowie zur Gesamtkostenquote:</w:t>
      </w:r>
    </w:p>
    <w:p>
      <w:pPr>
        <w:ind w:left="780"/>
      </w:pPr>
      <w:r>
        <w:t xml:space="preserve">a) Betrag einer erfolgsabhängigen oder einer zusätzlichen Verwaltungsvergütung gemäß § 101 Absatz 2 Nummer 1, zweiter Halbsatz des Kapitalanlagegesetzbuches;</w:t>
      </w:r>
    </w:p>
    <w:p>
      <w:pPr>
        <w:ind w:left="780"/>
      </w:pPr>
      <w:r>
        <w:t xml:space="preserve">b) Pauschalgebühren gemäß § 101 Absatz 2 Nummer 2 des Kapitalanlagegesetzbuches;</w:t>
      </w:r>
    </w:p>
    <w:p>
      <w:pPr>
        <w:ind w:left="780"/>
      </w:pPr>
      <w:r>
        <w:t xml:space="preserve">c) geleistete Vergütungen sowie erhaltene Rückvergütungen, jeweils gemäß § 101 Absatz 2 Nummer 3 des Kapitalanlagegesetzbuches;</w:t>
      </w:r>
    </w:p>
    <w:p>
      <w:pPr>
        <w:ind w:left="780"/>
      </w:pPr>
      <w:r>
        <w:t xml:space="preserve">d) Kosten aus erworbenen Investmentanteilen gemäß § 101 Absatz 2 Nummer 4 des Kapitalanlagegesetzbuches;</w:t>
      </w:r>
    </w:p>
    <w:p>
      <w:pPr>
        <w:ind w:left="780"/>
      </w:pPr>
      <w:r>
        <w:t xml:space="preserve">e) wesentliche sonstige Erträge und sonstige Aufwendungen, diese sind nachvollziehbar aufzuschlüsseln und zu erläutern;</w:t>
      </w:r>
    </w:p>
    <w:p>
      <w:pPr>
        <w:ind w:left="780"/>
      </w:pPr>
      <w:r>
        <w:t xml:space="preserve">f) bei Publikumssondervermögen Angabe der Transaktionskosten.</w:t>
      </w:r>
    </w:p>
    <w:p>
      <w:r>
        <w:t xml:space="preserve">(2) Für ein Sondervermögen, das einen Index nachbildet, muss der Jahresbericht folgende Angaben enthalten:</w:t>
      </w:r>
    </w:p>
    <w:p>
      <w:pPr>
        <w:ind w:left="420"/>
      </w:pPr>
      <w:r>
        <w:t xml:space="preserve">1. die Höhe des Tracking Error zum Ende des Berichtszeitraums,</w:t>
      </w:r>
    </w:p>
    <w:p>
      <w:pPr>
        <w:ind w:left="420"/>
      </w:pPr>
      <w:r>
        <w:t xml:space="preserve">2. eine Erläuterung der Abweichung zwischen dem erwarteten Tracking Error und dem tatsächlichen Tracking Error, sofern die Abweichung relevant ist,</w:t>
      </w:r>
    </w:p>
    <w:p>
      <w:pPr>
        <w:ind w:left="420"/>
      </w:pPr>
      <w:r>
        <w:t xml:space="preserve">3. die Höhe der Annual Tracking Difference zwischen der Entwicklung des Investmentvermögens und dem nachgebildeten Index mit Erläuterung.</w:t>
      </w:r>
    </w:p>
    <w:p>
      <w:r>
        <w:t xml:space="preserve">Die Angabe nach Satz 1 Nummer 1 muss auch im Halbjahresbericht (§ 17) enthalten sein.</w:t>
      </w:r>
    </w:p>
    <w:p>
      <w:r>
        <w:rPr>
          <w:color w:val="555555"/>
          <w:sz w:val="17"/>
        </w:rPr>
        <w:t xml:space="preserve">Zitiervorschlag: § 16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