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KARBV — Vergleichende Übersicht über die letzten drei Geschäftsjahre</w:t>
      </w:r>
    </w:p>
    <w:p>
      <w:r>
        <w:rPr>
          <w:color w:val="555555"/>
          <w:sz w:val="18"/>
        </w:rPr>
        <w:t xml:space="preserve">Kapitalanlage-Rechnungslegungs- und -Bewertungsverordnung</w:t>
      </w:r>
    </w:p>
    <w:p>
      <w:r>
        <w:rPr>
          <w:color w:val="555555"/>
          <w:sz w:val="18"/>
        </w:rPr>
        <w:t xml:space="preserve">Stand: 10.06.2019 (konsolidierte Textfassung, kein amtliches Inkrafttretensdatum)</w:t>
      </w:r>
    </w:p>
    <w:p>
      <w:r>
        <w:t xml:space="preserve">Über den Inhalt nach § 101 Absatz 1 Satz 3 Nummer 6 des Kapitalanlagegesetzbuches hinaus ist bei Sondervermögen mit einer Wertentwicklung von weniger als drei Geschäftsjahren die Wertentwicklung für die Zeit seit der Auflegung anzugeben. Bei mehreren Anteilklassen ist die Wertentwicklung mindestens für die Anteilklasse mit der höchsten Gesamtkostenquote darzustellen.</w:t>
      </w:r>
    </w:p>
    <w:p>
      <w:r>
        <w:rPr>
          <w:color w:val="555555"/>
          <w:sz w:val="17"/>
        </w:rPr>
        <w:t xml:space="preserve">Zitiervorschlag: § 14 KARBV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https://recht.nulegal.eu/gesetze/KARBV/14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