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KARBV — Entwicklungsrechnung für das Sondervermögen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Übersicht über die Entwicklung des Sondervermögens ist unter Berücksichtigung folgender Posten darzustellen; Leerposten können jeweils entfallen:</w:t>
      </w:r>
    </w:p>
    <w:p>
      <w:pPr>
        <w:ind w:left="420"/>
      </w:pPr>
      <w:r>
        <w:t xml:space="preserve">I. Wert des Sondervermögens am Beginn des Geschäftsjahres</w:t>
      </w:r>
    </w:p>
    <w:p>
      <w:pPr>
        <w:ind w:left="780"/>
      </w:pPr>
      <w:r>
        <w:t xml:space="preserve">1. Ausschüttung für das Vorjahr/Steuerabschlag für das Vorjahr</w:t>
      </w:r>
    </w:p>
    <w:p>
      <w:pPr>
        <w:ind w:left="780"/>
      </w:pPr>
      <w:r>
        <w:t xml:space="preserve">2. Zwischenausschüttungen</w:t>
      </w:r>
    </w:p>
    <w:p>
      <w:pPr>
        <w:ind w:left="780"/>
      </w:pPr>
      <w:r>
        <w:t xml:space="preserve">3. Mittelzufluss (netto)</w:t>
      </w:r>
    </w:p>
    <w:p>
      <w:pPr>
        <w:ind w:left="1140"/>
      </w:pPr>
      <w:r>
        <w:t xml:space="preserve">a) Mittelzuflüsse aus Anteilschein-Verkäufen</w:t>
      </w:r>
    </w:p>
    <w:p>
      <w:pPr>
        <w:ind w:left="1140"/>
      </w:pPr>
      <w:r>
        <w:t xml:space="preserve">b) Mittelabflüsse aus Anteilschein-Rücknahmen</w:t>
      </w:r>
    </w:p>
    <w:p>
      <w:pPr>
        <w:ind w:left="780"/>
      </w:pPr>
      <w:r>
        <w:t xml:space="preserve">4. Ertragsausgleich/Aufwandsausgleich</w:t>
      </w:r>
    </w:p>
    <w:p>
      <w:pPr>
        <w:ind w:left="780"/>
      </w:pPr>
      <w:r>
        <w:t xml:space="preserve">5. Ergebnis des Geschäftsjahres</w:t>
      </w:r>
    </w:p>
    <w:p>
      <w:pPr>
        <w:ind w:left="420"/>
      </w:pPr>
      <w:r>
        <w:t xml:space="preserve">davon nicht realisierte Gewinne davon nicht realisierte Verluste</w:t>
      </w:r>
    </w:p>
    <w:p>
      <w:pPr>
        <w:ind w:left="420"/>
      </w:pPr>
      <w:r>
        <w:t xml:space="preserve">II. Wert des Sondervermögens am Ende des Geschäftsjahres.</w:t>
      </w:r>
    </w:p>
    <w:p>
      <w:r>
        <w:t xml:space="preserve">(2) Bei Immobilien-Sondervermögen und offenen inländischen Spezial-AIF mit Anlagen in Immobilien oder Immobilien-Gesellschaften ist in der Aufstellung nach Absatz 1 nach Gliederungsziffer I Nummer 4 der Posten „4a. Abschreibung Anschaffungsnebenkosten“ einzufügen.</w:t>
      </w:r>
    </w:p>
    <w:p>
      <w:r>
        <w:t xml:space="preserve">(3) Rücknahmeabschläge, die im Sondervermögen verbleiben, sind dem Posten unter Absatz 1 Gliederungsziffer I Nummer 3 Buchstabe b zuzuordnen und mindern diesen.</w:t>
      </w:r>
    </w:p>
    <w:p>
      <w:r>
        <w:rPr>
          <w:color w:val="555555"/>
          <w:sz w:val="17"/>
        </w:rPr>
        <w:t xml:space="preserve">Zitiervorschlag: § 13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