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KARBV — Verwendungsrechnung für das Sondervermögen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Berechnung der Verwendung der Erträge des Sondervermögens ist insgesamt und je Anteil wie folgt darzustellen; Leerposten können jeweils entfallen:</w:t>
      </w:r>
    </w:p>
    <w:p>
      <w:pPr>
        <w:ind w:left="420"/>
      </w:pPr>
      <w:r>
        <w:t xml:space="preserve">I. Für die Ausschüttung verfügbar</w:t>
      </w:r>
    </w:p>
    <w:p>
      <w:pPr>
        <w:ind w:left="780"/>
      </w:pPr>
      <w:r>
        <w:t xml:space="preserve">1. Vortrag aus dem Vorjahr</w:t>
      </w:r>
    </w:p>
    <w:p>
      <w:pPr>
        <w:ind w:left="780"/>
      </w:pPr>
      <w:r>
        <w:t xml:space="preserve">2. Realisiertes Ergebnis des Geschäftsjahres</w:t>
      </w:r>
    </w:p>
    <w:p>
      <w:pPr>
        <w:ind w:left="780"/>
      </w:pPr>
      <w:r>
        <w:t xml:space="preserve">3. Zuführung aus dem Sondervermögen</w:t>
      </w:r>
    </w:p>
    <w:p>
      <w:pPr>
        <w:ind w:left="420"/>
      </w:pPr>
      <w:r>
        <w:t xml:space="preserve">II. Nicht für die Ausschüttung verwendet</w:t>
      </w:r>
    </w:p>
    <w:p>
      <w:pPr>
        <w:ind w:left="780"/>
      </w:pPr>
      <w:r>
        <w:t xml:space="preserve">1. Der Wiederanlage zugeführt</w:t>
      </w:r>
    </w:p>
    <w:p>
      <w:pPr>
        <w:ind w:left="780"/>
      </w:pPr>
      <w:r>
        <w:t xml:space="preserve">2. Vortrag auf neue Rechnung</w:t>
      </w:r>
    </w:p>
    <w:p>
      <w:pPr>
        <w:ind w:left="420"/>
      </w:pPr>
      <w:r>
        <w:t xml:space="preserve">III. Gesamtausschüttung</w:t>
      </w:r>
    </w:p>
    <w:p>
      <w:pPr>
        <w:ind w:left="780"/>
      </w:pPr>
      <w:r>
        <w:t xml:space="preserve">1. Zwischenausschüttung</w:t>
      </w:r>
    </w:p>
    <w:p>
      <w:pPr>
        <w:ind w:left="1140"/>
      </w:pPr>
      <w:r>
        <w:t xml:space="preserve">a) Barausschüttung</w:t>
      </w:r>
    </w:p>
    <w:p>
      <w:pPr>
        <w:ind w:left="1140"/>
      </w:pPr>
      <w:r>
        <w:t xml:space="preserve">b) Einbehaltene Kapitalertragsteuer</w:t>
      </w:r>
    </w:p>
    <w:p>
      <w:pPr>
        <w:ind w:left="1140"/>
      </w:pPr>
      <w:r>
        <w:t xml:space="preserve">c) Einbehaltener Solidaritätszuschlag</w:t>
      </w:r>
    </w:p>
    <w:p>
      <w:pPr>
        <w:ind w:left="780"/>
      </w:pPr>
      <w:r>
        <w:t xml:space="preserve">2. Endausschüttung</w:t>
      </w:r>
    </w:p>
    <w:p>
      <w:pPr>
        <w:ind w:left="1140"/>
      </w:pPr>
      <w:r>
        <w:t xml:space="preserve">a) Barausschüttung</w:t>
      </w:r>
    </w:p>
    <w:p>
      <w:pPr>
        <w:ind w:left="1140"/>
      </w:pPr>
      <w:r>
        <w:t xml:space="preserve">b) Einbehaltene Kapitalertragsteuer</w:t>
      </w:r>
    </w:p>
    <w:p>
      <w:pPr>
        <w:ind w:left="1140"/>
      </w:pPr>
      <w:r>
        <w:t xml:space="preserve">c) Einbehaltener Solidaritätszuschlag.</w:t>
      </w:r>
    </w:p>
    <w:p>
      <w:r>
        <w:t xml:space="preserve">(2) Für thesaurierende Sondervermögen ist die Verwendungsrechnung insgesamt und je Anteil wie folgt darzustellen:</w:t>
      </w:r>
    </w:p>
    <w:p>
      <w:pPr>
        <w:ind w:left="420"/>
      </w:pPr>
      <w:r>
        <w:t xml:space="preserve">I. Für die Wiederanlage verfügbar</w:t>
      </w:r>
    </w:p>
    <w:p>
      <w:pPr>
        <w:ind w:left="780"/>
      </w:pPr>
      <w:r>
        <w:t xml:space="preserve">1. Realisiertes Ergebnis des Geschäftsjahres</w:t>
      </w:r>
    </w:p>
    <w:p>
      <w:pPr>
        <w:ind w:left="780"/>
      </w:pPr>
      <w:r>
        <w:t xml:space="preserve">2. Zuführung aus dem Sondervermögen</w:t>
      </w:r>
    </w:p>
    <w:p>
      <w:pPr>
        <w:ind w:left="780"/>
      </w:pPr>
      <w:r>
        <w:t xml:space="preserve">3. Zur Verfügung gestellter Steuerabzugsbetrag</w:t>
      </w:r>
    </w:p>
    <w:p>
      <w:pPr>
        <w:ind w:left="420"/>
      </w:pPr>
      <w:r>
        <w:t xml:space="preserve">II. Wiederanlage.</w:t>
      </w:r>
    </w:p>
    <w:p>
      <w:r>
        <w:t xml:space="preserve">(3) Bei Immobilien-Sondervermögen und offenen inländischen Spezial-AIF mit Anlagen in Immobilien oder Immobilien-Gesellschaften, für die eine Verwendungsrechnung erstellt wird, ist den Posten gemäß Absatz 1 Gliederungsziffer II der Posten „II. Einbehalt gemäß § 252 des Kapitalanlagegesetzbuches“ voranzustellen; die folgenden Posten sind entsprechend umzunummerieren.</w:t>
      </w:r>
    </w:p>
    <w:p>
      <w:r>
        <w:t xml:space="preserve">(4) Sofern für Zwecke der Gesamtausschüttung eine Zuführung aus dem Sondervermögen gemäß Absatz 1 Gliederungsziffer I Nummer 3 vorgenommen wird, ist dies in der Verwendungsrechnung ergänzend zu erläutern.</w:t>
      </w:r>
    </w:p>
    <w:p>
      <w:r>
        <w:rPr>
          <w:color w:val="555555"/>
          <w:sz w:val="17"/>
        </w:rPr>
        <w:t xml:space="preserve">Zitiervorschlag: § 12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