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KARBV — Geltungsbereich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über die Bestimmungen des Kapitalanlagegesetzbuches hinausgehende Einzelheiten</w:t>
      </w:r>
    </w:p>
    <w:p>
      <w:pPr>
        <w:ind w:left="420"/>
      </w:pPr>
      <w:r>
        <w:t xml:space="preserve">1. zu Inhalt, Umfang und Darstellung</w:t>
      </w:r>
    </w:p>
    <w:p>
      <w:pPr>
        <w:ind w:left="780"/>
      </w:pPr>
      <w:r>
        <w:t xml:space="preserve">a) der Jahres-, Halbjahres-, Zwischen-, Auflösungs- und Abwicklungsberichte für Sondervermögen,</w:t>
      </w:r>
    </w:p>
    <w:p>
      <w:pPr>
        <w:ind w:left="780"/>
      </w:pPr>
      <w:r>
        <w:t xml:space="preserve">b) der Jahresabschlüsse und Lageberichte, Halbjahres-, Zwischen-, Auflösungs- und Liquidationsberichte von Investmentaktiengesellschaften und</w:t>
      </w:r>
    </w:p>
    <w:p>
      <w:pPr>
        <w:ind w:left="780"/>
      </w:pPr>
      <w:r>
        <w:t xml:space="preserve">c) der Jahresberichte, Zwischen-, Auflösungs- und Liquidationsberichte von Investmentkommanditgesellschaften sowie</w:t>
      </w:r>
    </w:p>
    <w:p>
      <w:pPr>
        <w:ind w:left="420"/>
      </w:pPr>
      <w:r>
        <w:t xml:space="preserve">2. zur Bewertung von Vermögensgegenständen.</w:t>
      </w:r>
    </w:p>
    <w:p>
      <w:r>
        <w:rPr>
          <w:color w:val="555555"/>
          <w:sz w:val="17"/>
        </w:rPr>
        <w:t xml:space="preserve">Zitiervorschlag: § 1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