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KAPrüfbV — Darstellung der rechtlichen, wirtschaftlichen und organisatorischen Grundlagen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ist zu berichten</w:t>
      </w:r>
    </w:p>
    <w:p>
      <w:pPr>
        <w:ind w:left="420"/>
      </w:pPr>
      <w:r>
        <w:t xml:space="preserve">1. über die Ausschöpfung und eine Überschreitung der Erlaubnis zum Betreiben des Geschäfts einer externen Kapitalverwaltungsgesellschaft und zur Erbringung von Dienst- und Nebendienstleistungen nach § 20 Absatz 2 und 3 des Kapitalanlagegesetzbuches im Berichtszeitraum und</w:t>
      </w:r>
    </w:p>
    <w:p>
      <w:pPr>
        <w:ind w:left="420"/>
      </w:pPr>
      <w:r>
        <w:t xml:space="preserve">2. über die Einhaltung der damit verbundenen Auflagen im Berichtszeitraum.</w:t>
      </w:r>
    </w:p>
    <w:p>
      <w:r>
        <w:t xml:space="preserve">(2) Darzustellen sind die wesentlichen Änderungen der rechtlichen, wirtschaftlichen und organisatorischen Grundlagen der externen Kapitalverwaltungsgesellschaft im Berichtszeitraum, wobei insbesondere zu berichten ist über</w:t>
      </w:r>
    </w:p>
    <w:p>
      <w:pPr>
        <w:ind w:left="420"/>
      </w:pPr>
      <w:r>
        <w:t xml:space="preserve">1. Änderungen der Rechtsform und der Satzung oder des Gesellschaftsvertrages,</w:t>
      </w:r>
    </w:p>
    <w:p>
      <w:pPr>
        <w:ind w:left="420"/>
      </w:pPr>
      <w:r>
        <w:t xml:space="preserve">2. Änderungen der Kapitalverhältnisse und der Gesellschafterverhältnisse,</w:t>
      </w:r>
    </w:p>
    <w:p>
      <w:pPr>
        <w:ind w:left="420"/>
      </w:pPr>
      <w:r>
        <w:t xml:space="preserve">3. Änderungen in der personellen Zusammensetzung der Geschäftsleitung und Änderungen der Zuständigkeit der einzelnen Geschäftsleiter,</w:t>
      </w:r>
    </w:p>
    <w:p>
      <w:pPr>
        <w:ind w:left="420"/>
      </w:pPr>
      <w:r>
        <w:t xml:space="preserve">4. Änderungen der Struktur des Geschäftsbetriebs einer externen Kapitalverwaltungsgesellschaft, der Struktur der erbrachten Dienstleistungen und Nebendienstleistungen nach § 20 Absatz 2 und 3 des Kapitalanlagegesetzbuches,</w:t>
      </w:r>
    </w:p>
    <w:p>
      <w:pPr>
        <w:ind w:left="420"/>
      </w:pPr>
      <w:r>
        <w:t xml:space="preserve">5. die bevorstehende Aufnahme neuer Geschäftszweige,</w:t>
      </w:r>
    </w:p>
    <w:p>
      <w:pPr>
        <w:ind w:left="420"/>
      </w:pPr>
      <w:r>
        <w:t xml:space="preserve">6. Änderungen der rechtlichen und geschäftlichen Beziehungen zu verbundenen Unternehmen, über wirtschaftlich bedeutsame Verträge geschäftspolitischer Natur, die die zwischenbetriebliche Zusammenarbeit regeln, wobei insbesondere Angaben über Art und Umfang der vereinbarten Leistungen zu machen sind; die Berichterstattung kann entfallen, soweit für den Berichtszeitraum ein Abhängigkeitsbericht nach § 312 des Aktiengesetzes erstellt und der Bundesanstalt eingereicht wurde,</w:t>
      </w:r>
    </w:p>
    <w:p>
      <w:pPr>
        <w:ind w:left="420"/>
      </w:pPr>
      <w:r>
        <w:t xml:space="preserve">7. Änderungen im organisatorischen Aufbau der externen Kapitalverwaltungsgesellschaft und Änderungen der unter Risikoaspekten bedeutsamen Ablauforganisation; das aktuelle Organigramm ist dem Prüfungsbericht als Anlage beizufügen.</w:t>
      </w:r>
    </w:p>
    <w:p>
      <w:r>
        <w:t xml:space="preserve">(3) Über wesentliche auf andere Unternehmen ausgelagerte Aufgaben ist im Prüfungsbericht gesondert zu berichten, soweit die Berichterstattung nicht nach § 22 Absatz 5 zu erfolgen hat.</w:t>
      </w:r>
    </w:p>
    <w:p>
      <w:r>
        <w:t xml:space="preserve">(4) Die Ordnungsmäßigkeit der Geschäftsorganisation, insbesondere die Geeignetheit der Regelungen bei persönlichen Geschäften der Mitarbeiter zur Verhinderung von Missbrauch sowie die Angemessenheit der Kontroll- und Sicherheitsvorkehrungen für den Einsatz der elektronischen Datenverarbeitung, ist zu beurteilen, soweit dies nicht die Verwaltung der Investmentvermögen betrifft.</w:t>
      </w:r>
    </w:p>
    <w:p>
      <w:r>
        <w:t xml:space="preserve">(5) Soweit der Abschlussprüfer nur verpflichtet ist, über Änderungen zu berichten, hat er darüber hinaus in angemessenen Abständen vollständig zu berichten. Angemessene Abstände sind in der Regel drei bis fünf Jahre.</w:t>
      </w:r>
    </w:p>
    <w:p>
      <w:r>
        <w:rPr>
          <w:color w:val="555555"/>
          <w:sz w:val="17"/>
        </w:rPr>
        <w:t xml:space="preserve">Zitiervorschlag: § 8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