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KAPrüfbV — Besonderheiten bei der Investmentaktiengesellschaft mit fixem Kapital und der geschlossenen Investmentkommanditgesellschaft</w:t>
      </w:r>
    </w:p>
    <w:p>
      <w:r>
        <w:rPr>
          <w:color w:val="555555"/>
          <w:sz w:val="18"/>
        </w:rPr>
        <w:t xml:space="preserve">Kapitalanlage-Prüfungsberichte-Verordnung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Werden im Berichtsjahr Vermögensgegenstände im Sinne des § 261 Absatz 2 des Kapitalanlagegesetzbuches für das Investmentvermögen erworben oder für Rechnung des Investmentvermögens veräußert, so sind im Prüfungsbericht</w:t>
      </w:r>
    </w:p>
    <w:p>
      <w:pPr>
        <w:ind w:left="420"/>
      </w:pPr>
      <w:r>
        <w:t xml:space="preserve">1. bei einem Erwerb von Investmentvermögen aufzuführen:</w:t>
      </w:r>
    </w:p>
    <w:p>
      <w:pPr>
        <w:ind w:left="780"/>
      </w:pPr>
      <w:r>
        <w:t xml:space="preserve">a) der vor dem Erwerb nach § 261 Absatz 5 und 6 des Kapitalanlagegesetzbuches ermittelte Wert,</w:t>
      </w:r>
    </w:p>
    <w:p>
      <w:pPr>
        <w:ind w:left="780"/>
      </w:pPr>
      <w:r>
        <w:t xml:space="preserve">b) die vertraglich vereinbarte und die tatsächlich aus dem Investmentvermögen erbrachte Gegenleistung und</w:t>
      </w:r>
    </w:p>
    <w:p>
      <w:pPr>
        <w:ind w:left="780"/>
      </w:pPr>
      <w:r>
        <w:t xml:space="preserve">c) die Anschaffungsnebenkosten;</w:t>
      </w:r>
    </w:p>
    <w:p>
      <w:pPr>
        <w:ind w:left="420"/>
      </w:pPr>
      <w:r>
        <w:t xml:space="preserve">2. bei einer Veräußerung von Investmentvermögen aufzuführen:</w:t>
      </w:r>
    </w:p>
    <w:p>
      <w:pPr>
        <w:ind w:left="780"/>
      </w:pPr>
      <w:r>
        <w:t xml:space="preserve">a) die bei der Veräußerung nach den §§ 271 und 272 des Kapitalanlagegesetzbuches ermittelten Werte der vergangenen zwei Jahre einschließlich des Berichtsjahres sowie</w:t>
      </w:r>
    </w:p>
    <w:p>
      <w:pPr>
        <w:ind w:left="780"/>
      </w:pPr>
      <w:r>
        <w:t xml:space="preserve">b) die vertraglich vereinbarte und die tatsächlich dem Investmentvermögen zugeflossene Gegenleistung.</w:t>
      </w:r>
    </w:p>
    <w:p>
      <w:r>
        <w:t xml:space="preserve">(2) Im Prüfungsbericht sind die Verkehrswerte oder Kaufpreise der Sachwerte, die für das Investmentvermögen direkt oder indirekt gehalten werden, einzeln für das Berichtsjahr und für das Vorjahr anzugeben.</w:t>
      </w:r>
    </w:p>
    <w:p>
      <w:r>
        <w:t xml:space="preserve">(3) Anzugeben sind sämtliche Sachwerte, deren Verkehrswert sich im Vergleich zum Vorjahr um mehr als 5 Prozent oder um mehr als 5 Millionen Euro verändert hat, sowie die wesentlichen Parameter, die zu dieser Wertveränderung geführt haben.</w:t>
      </w:r>
    </w:p>
    <w:p>
      <w:r>
        <w:rPr>
          <w:color w:val="555555"/>
          <w:sz w:val="17"/>
        </w:rPr>
        <w:t xml:space="preserve">Zitiervorschlag: § 46 KAPrüfbV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https://recht.nulegal.eu/gesetze/KAPr%C3%BCfbV/46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