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KAPrüfbV — Weitere Berichtspflichten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Prüfungsbericht ist zu berichten, ob die Erträge des Sondervermögens nach § 252 des Kapitalanlagegesetzbuches ordnungsgemäß verwendet wurden.</w:t>
      </w:r>
    </w:p>
    <w:p>
      <w:r>
        <w:t xml:space="preserve">(2) Wird das Sondervermögen mit eigenen Aufwendungen der externen Kapitalverwaltungsgesellschaft nach den Anlagebedingungen belastet, so ist darzustellen, nach welchem Verfahren die Preise für die eigenen Aufwendungen ermittelt wurden.</w:t>
      </w:r>
    </w:p>
    <w:p>
      <w:r>
        <w:rPr>
          <w:color w:val="555555"/>
          <w:sz w:val="17"/>
        </w:rPr>
        <w:t xml:space="preserve">Zitiervorschlag: § 42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