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KAPrüfbV — Berichterstattung hinsichtlich weiterer Anlagevorschriften und der Verletzung von Anlagegrenzen</w:t>
      </w:r>
    </w:p>
    <w:p>
      <w:r>
        <w:rPr>
          <w:color w:val="555555"/>
          <w:sz w:val="18"/>
        </w:rPr>
        <w:t xml:space="preserve">Kapitalanlage-Prüfungsberichte-Verordnung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Ergänzend zur Berichterstattung nach § 29 Absatz 2, ansonsten gesondert ist insbesondere über die Erfüllung folgender gesetzlicher Pflichten und über Verstöße gegen folgende Regelungen zu berichten:</w:t>
      </w:r>
    </w:p>
    <w:p>
      <w:pPr>
        <w:ind w:left="420"/>
      </w:pPr>
      <w:r>
        <w:t xml:space="preserve">1. die Einhaltung des Zustimmungserfordernisses nach § 239 Absatz 2 des Kapitalanlagegesetzbuches,</w:t>
      </w:r>
    </w:p>
    <w:p>
      <w:pPr>
        <w:ind w:left="420"/>
      </w:pPr>
      <w:r>
        <w:t xml:space="preserve">2. die Gewährung von Darlehen an Immobilien-Gesellschaften gemäß § 240 des Kapitalanlagegesetzbuches,</w:t>
      </w:r>
    </w:p>
    <w:p>
      <w:pPr>
        <w:ind w:left="420"/>
      </w:pPr>
      <w:r>
        <w:t xml:space="preserve">3. die Einhaltung der in § 260 Absatz 3, gegebenenfalls in Verbindung mit Absatz 4, des Kapitalanlagegesetzbuches genannten Grenze für die Belastung von Grundstückswerten und</w:t>
      </w:r>
    </w:p>
    <w:p>
      <w:pPr>
        <w:ind w:left="420"/>
      </w:pPr>
      <w:r>
        <w:t xml:space="preserve">4. die Einhaltung der in § 253 Absatz 1 und 2 des Kapitalanlagegesetzbuches enthaltenen Grenzen über die Höchst- und Mindestliquidität.</w:t>
      </w:r>
    </w:p>
    <w:p>
      <w:r>
        <w:t xml:space="preserve">Satz 1 Nummer 1 gilt nicht für offene Spezial-AIF mit einer Anlage in entsprechenden Vermögensgegenständen.</w:t>
      </w:r>
    </w:p>
    <w:p>
      <w:r>
        <w:rPr>
          <w:color w:val="555555"/>
          <w:sz w:val="17"/>
        </w:rPr>
        <w:t xml:space="preserve">Zitiervorschlag: § 40 KAPrüfbV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https://recht.nulegal.eu/gesetze/KAPr%C3%BCfbV/40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