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KAPrüfbV — Einsatz von Derivaten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Pflichten des Abschlussprüfers im Prüfungsbericht beim Einsatz von Derivaten in einem Sondervermögen bleiben unberührt:</w:t>
      </w:r>
    </w:p>
    <w:p>
      <w:pPr>
        <w:ind w:left="420"/>
      </w:pPr>
      <w:r>
        <w:t xml:space="preserve">1. nach § 4 Absatz 2 der Derivateverordnung (festgelegte Kontrollverfahren),</w:t>
      </w:r>
    </w:p>
    <w:p>
      <w:pPr>
        <w:ind w:left="420"/>
      </w:pPr>
      <w:r>
        <w:t xml:space="preserve">2. nach § 9 Absatz 5 Satz 5 der Derivateverordnung (Vergleichsvermögen),</w:t>
      </w:r>
    </w:p>
    <w:p>
      <w:pPr>
        <w:ind w:left="420"/>
      </w:pPr>
      <w:r>
        <w:t xml:space="preserve">3. nach § 10 Absatz 2 und 3 der Derivateverordnung (Risikomodelle),</w:t>
      </w:r>
    </w:p>
    <w:p>
      <w:pPr>
        <w:ind w:left="420"/>
      </w:pPr>
      <w:r>
        <w:t xml:space="preserve">4. nach § 31 Absatz 2 der Derivateverordnung (Stresstests) und</w:t>
      </w:r>
    </w:p>
    <w:p>
      <w:pPr>
        <w:ind w:left="420"/>
      </w:pPr>
      <w:r>
        <w:t xml:space="preserve">5. nach § 34 Absatz 1, Absatz 2 Satz 3 der Derivateverordnung (Richtliniengestaltung und -durchführung).</w:t>
      </w:r>
    </w:p>
    <w:p>
      <w:r>
        <w:rPr>
          <w:color w:val="555555"/>
          <w:sz w:val="17"/>
        </w:rPr>
        <w:t xml:space="preserve">Zitiervorschlag: § 33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