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KAPrüfbV — Ermittlung der Anteilwerte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darzulegen, ob die von der externen Kapitalverwaltungsgesellschaft getroffenen organisatorischen Vorkehrungen zur Ermittlung der Anteilwerte für das zu prüfende Sondervermögen ordnungsgemäß und geeignet sind und ob § 168 des Kapitalanlagegesetzbuches eingehalten wurde. Dabei sind insbesondere die nach § 168 Absatz 3 des Kapitalanlagegesetzbuches verwendeten Bewertungsmodelle darzustellen und zu beurteilen. Sofern die Verwahrstelle die Anteilwerte ermittelt, beschränkt sich die Beurteilung auf die Mitwirkung der externen Kapitalverwaltungsgesellschaft.</w:t>
      </w:r>
    </w:p>
    <w:p>
      <w:r>
        <w:t xml:space="preserve">(2) Werden fehlerhafte Anteilwerte festgestellt, sind die Gründe hierfür darzustellen und zu erläutern. Die Berichterstattung kann entfallen, soweit der Fehler beim Anteilwert unwesentlich im Verhältnis zur Höhe des Anteilwertes ist.</w:t>
      </w:r>
    </w:p>
    <w:p>
      <w:r>
        <w:t xml:space="preserve">(3) Der Abschlussprüfer hat über Maßnahmen, die von der externen Kapitalverwaltungsgesellschaft ergriffen wurden, um die Folgen fehlerhafter Berechnungen der Anteilwerte zu beseitigen, und über Ergebnisse dieser Maßnahmen zu berichten.</w:t>
      </w:r>
    </w:p>
    <w:p>
      <w:r>
        <w:rPr>
          <w:color w:val="555555"/>
          <w:sz w:val="17"/>
        </w:rPr>
        <w:t xml:space="preserve">Zitiervorschlag: § 31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