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28 KAPrüfbV — Einhaltung von Gesetz und Anlagebedingungen</w:t>
      </w:r>
    </w:p>
    <w:p>
      <w:r>
        <w:rPr>
          <w:color w:val="555555"/>
          <w:sz w:val="18"/>
        </w:rPr>
        <w:t xml:space="preserve">Kapitalanlage-Prüfungsberichte-Verordnung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Abschlussprüfer hat im Prüfungsbericht über Verstöße gegen gesetzliche Bestimmungen und gegen Bestimmungen der Anlagebedingungen sowie über die Einhaltung der Nebenbestimmungen zur Genehmigung der Anlagebedingungen zu berichten.</w:t>
      </w:r>
    </w:p>
    <w:p>
      <w:r>
        <w:t xml:space="preserve">(2) Die Berichterstattung umfasst bei Verstößen insbesondere:</w:t>
      </w:r>
    </w:p>
    <w:p>
      <w:pPr>
        <w:ind w:left="420"/>
      </w:pPr>
      <w:r>
        <w:t xml:space="preserve">1. die Beschreibung des Verstoßes nach Art und Auswirkungen für das Sondervermögen, für die Anteilinhaber und für die externe Kapitalverwaltungsgesellschaft,</w:t>
      </w:r>
    </w:p>
    <w:p>
      <w:pPr>
        <w:ind w:left="420"/>
      </w:pPr>
      <w:r>
        <w:t xml:space="preserve">2. die Darstellung der eingeleiteten Maßnahmen zur Vermeidung zukünftiger Verstöße und die Beurteilung der Wirksamkeit dieser Maßnahmen.</w:t>
      </w:r>
    </w:p>
    <w:p>
      <w:r>
        <w:t xml:space="preserve">(3) Bei geringfügigen Verstößen gegen gesetzliche und vertragliche Bestimmungen kann von der Darstellung abgesehen werden, es sei denn, es handelt sich um wiederholte Verstöße derselben Art. Über die in § 29 Absatz 3 genannten Verstöße ist in jedem Fall zu berichten.</w:t>
      </w:r>
    </w:p>
    <w:p>
      <w:r>
        <w:t xml:space="preserve">(4) Besteht für den jeweiligen Verstoß eine Meldepflicht gegenüber der Bundesanstalt, so ist festzustellen, ob die entsprechende gesetzliche Regelung eingehalten oder verletzt wurde.</w:t>
      </w:r>
    </w:p>
    <w:p>
      <w:r>
        <w:rPr>
          <w:color w:val="555555"/>
          <w:sz w:val="17"/>
        </w:rPr>
        <w:t xml:space="preserve">Zitiervorschlag: § 28 KAPrüfbV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https://recht.nulegal.eu/gesetze/KAPr%C3%BCfbV/28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