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KAPrüfbV — Angaben zum Sondervermögen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Prüfungsbericht für das Sondervermögen sind insbesondere folgende Angaben voranzustellen:</w:t>
      </w:r>
    </w:p>
    <w:p>
      <w:pPr>
        <w:ind w:left="420"/>
      </w:pPr>
      <w:r>
        <w:t xml:space="preserve">1. Name des Sondervermögens,</w:t>
      </w:r>
    </w:p>
    <w:p>
      <w:pPr>
        <w:ind w:left="420"/>
      </w:pPr>
      <w:r>
        <w:t xml:space="preserve">2. WKN/ISIN (Wertpapierkennnummer/International Security Identification Number),</w:t>
      </w:r>
    </w:p>
    <w:p>
      <w:pPr>
        <w:ind w:left="420"/>
      </w:pPr>
      <w:r>
        <w:t xml:space="preserve">3. Geschäftsjahr,</w:t>
      </w:r>
    </w:p>
    <w:p>
      <w:pPr>
        <w:ind w:left="420"/>
      </w:pPr>
      <w:r>
        <w:t xml:space="preserve">4. Art des Sondervermögens,</w:t>
      </w:r>
    </w:p>
    <w:p>
      <w:pPr>
        <w:ind w:left="420"/>
      </w:pPr>
      <w:r>
        <w:t xml:space="preserve">5. Fondsprofil, insbesondere Anlageschwerpunkt nach den Anlagebedingungen, gegebenenfalls der Vergleichsmaßstab,</w:t>
      </w:r>
    </w:p>
    <w:p>
      <w:pPr>
        <w:ind w:left="420"/>
      </w:pPr>
      <w:r>
        <w:t xml:space="preserve">6. Ausgestaltungsmerkmale der Anteilklassen nach § 96 Absatz 1 des Kapitalanlagegesetzbuches,</w:t>
      </w:r>
    </w:p>
    <w:p>
      <w:pPr>
        <w:ind w:left="420"/>
      </w:pPr>
      <w:r>
        <w:t xml:space="preserve">7. Name und Sitz der Verwahrstelle und gegebenenfalls des oder der Primebroker,</w:t>
      </w:r>
    </w:p>
    <w:p>
      <w:pPr>
        <w:ind w:left="420"/>
      </w:pPr>
      <w:r>
        <w:t xml:space="preserve">8. Name und Sitz der verwaltenden Kapitalverwaltungsgesellschaft,</w:t>
      </w:r>
    </w:p>
    <w:p>
      <w:pPr>
        <w:ind w:left="420"/>
      </w:pPr>
      <w:r>
        <w:t xml:space="preserve">9. Geschäftszeichen und Datum der Genehmigung der Allgemeinen und Besonderen Anlagebedingungen sowie Datum der Auflegung,</w:t>
      </w:r>
    </w:p>
    <w:p>
      <w:pPr>
        <w:ind w:left="420"/>
      </w:pPr>
      <w:r>
        <w:t xml:space="preserve">10. Änderungen der Anlagebedingungen während des Geschäftsjahres und Datum ihres Inkrafttretens,</w:t>
      </w:r>
    </w:p>
    <w:p>
      <w:pPr>
        <w:ind w:left="420"/>
      </w:pPr>
      <w:r>
        <w:t xml:space="preserve">11. Name und Sitz von Unternehmen, in die die Portfolioverwaltung ausgelagert wurde,</w:t>
      </w:r>
    </w:p>
    <w:p>
      <w:pPr>
        <w:ind w:left="420"/>
      </w:pPr>
      <w:r>
        <w:t xml:space="preserve">12. Zuständigkeit für die Ermittlung des Anteilwertes,</w:t>
      </w:r>
    </w:p>
    <w:p>
      <w:pPr>
        <w:ind w:left="420"/>
      </w:pPr>
      <w:r>
        <w:t xml:space="preserve">13. Gesamtkostenquote sowie weitere Angaben nach § 101 Absatz 2 Nummer 1 zweiter Halbsatz des Kapitalanlagegesetzbuches,</w:t>
      </w:r>
    </w:p>
    <w:p>
      <w:pPr>
        <w:ind w:left="420"/>
      </w:pPr>
      <w:r>
        <w:t xml:space="preserve">14. Portfolioumschlagsrate gemäß Anlage 2,</w:t>
      </w:r>
    </w:p>
    <w:p>
      <w:pPr>
        <w:ind w:left="420"/>
      </w:pPr>
      <w:r>
        <w:t xml:space="preserve">15. Daten mit besonderer Relevanz für das Sondervermögen, zum Beispiel bei Übernahme des Rechts zur Verwaltung, bei Übernahme aller Vermögensgegenstände, bei Wechsel der Verwahrstelle,</w:t>
      </w:r>
    </w:p>
    <w:p>
      <w:pPr>
        <w:ind w:left="420"/>
      </w:pPr>
      <w:r>
        <w:t xml:space="preserve">16. bei Einsatz von Derivaten Angabe, ob der einfache oder qualifizierte Ansatz angewendet wird.</w:t>
      </w:r>
    </w:p>
    <w:p>
      <w:r>
        <w:t xml:space="preserve">(2) Absatz 1 ist nicht auf Spezial-AIF anzuwenden. Absatz 1 Nummer 14 ist nicht auf Immobilien-Sondervermögen anzuwenden.</w:t>
      </w:r>
    </w:p>
    <w:p>
      <w:r>
        <w:rPr>
          <w:color w:val="555555"/>
          <w:sz w:val="17"/>
        </w:rPr>
        <w:t xml:space="preserve">Zitiervorschlag: § 26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