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KAPrüfbV — Berichtszeitraum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Berichterstattung nach diesem Abschnitt kann nach pflichtgemäßem Ermessen des Abschlussprüfers in Abstimmung mit der externen Kapitalverwaltungsgesellschaft zu einem früheren Zeitpunkt als dem nach § 12 Absatz 3 in einem gesonderten Berichtsteil erfolgen, jedoch nicht vor dem Ende der ersten Hälfte des Geschäftsjahres. Dieser Berichtsteil ist der Bundesanstalt unverzüglich nach Fertigstellung einzureichen.</w:t>
      </w:r>
    </w:p>
    <w:p>
      <w:r>
        <w:t xml:space="preserve">(2) Ergeben sich bis zum Ende des Berichtszeitraums wesentliche Änderungen bei den Ergebnissen eines Berichtsteils nach Absatz 1, ist über diese Änderung zu berichten.</w:t>
      </w:r>
    </w:p>
    <w:p>
      <w:r>
        <w:rPr>
          <w:color w:val="555555"/>
          <w:sz w:val="17"/>
        </w:rPr>
        <w:t xml:space="preserve">Zitiervorschlag: § 21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