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KAPrüfbV — Risikoorientierung und Wesentlichkeit</w:t>
      </w:r>
    </w:p>
    <w:p>
      <w:r>
        <w:rPr>
          <w:color w:val="555555"/>
          <w:sz w:val="18"/>
        </w:rPr>
        <w:t xml:space="preserve">Kapitalanlage-Prüfungsberichte-Verordnung</w:t>
      </w:r>
    </w:p>
    <w:p>
      <w:r>
        <w:rPr>
          <w:color w:val="555555"/>
          <w:sz w:val="18"/>
        </w:rPr>
        <w:t xml:space="preserve">Stand: 10.06.2019 (konsolidierte Textfassung, kein amtliches Inkrafttretensdatum)</w:t>
      </w:r>
    </w:p>
    <w:p>
      <w:r>
        <w:t xml:space="preserve">Bei der Prüfung ist den Grundsätzen der risikoorientierten Prüfung und der Wesentlichkeit Rechnung zu tragen. Bei der Prüfung von Kapitalverwaltungsgesellschaften sind insbesondere die Größe der Gesellschaft sowie der Geschäftsumfang, die Komplexität und der Risikogehalt der betriebenen Geschäfte zu berücksichtigen.</w:t>
      </w:r>
    </w:p>
    <w:p>
      <w:r>
        <w:rPr>
          <w:color w:val="555555"/>
          <w:sz w:val="17"/>
        </w:rPr>
        <w:t xml:space="preserve">Zitiervorschlag: § 2 KAPrüfbV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https://recht.nulegal.eu/gesetze/KAPr%C3%BCfbV/2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