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KAPrüfbV — Risikolage</w:t>
      </w:r>
    </w:p>
    <w:p>
      <w:r>
        <w:rPr>
          <w:color w:val="555555"/>
          <w:sz w:val="18"/>
        </w:rPr>
        <w:t xml:space="preserve">Kapitalanlage-Prüfungsberichte-Verordnung</w:t>
      </w:r>
    </w:p>
    <w:p>
      <w:r>
        <w:rPr>
          <w:color w:val="555555"/>
          <w:sz w:val="18"/>
        </w:rPr>
        <w:t xml:space="preserve">Stand: 10.06.2019 (konsolidierte Textfassung, kein amtliches Inkrafttretensdatum)</w:t>
      </w:r>
    </w:p>
    <w:p>
      <w:r>
        <w:t xml:space="preserve">(1) Im Prüfungsbericht ist die Risikolage der externen Kapitalverwaltungsgesellschaft zu beurteilen. Dazu sind die von der externen Kapitalverwaltungsgesellschaft verwendeten Bewertungsverfahren darzustellen und ist zu beurteilen, ob die eingesetzten Systeme, Verfahren und Regelungen angemessen sind, um die finanzielle Lage der externen Kapitalverwaltungsgesellschaft zu bestimmen.</w:t>
      </w:r>
    </w:p>
    <w:p>
      <w:r>
        <w:t xml:space="preserve">(2) Ferner ist auf Anzahl und Umfang von Kulanzzahlungen und Gerichtsverfahren im Zusammenhang mit der Verwaltung von Investmentvermögen sowie auf die Anzahl von Kundenbeschwerden einzugehen.</w:t>
      </w:r>
    </w:p>
    <w:p>
      <w:r>
        <w:rPr>
          <w:color w:val="555555"/>
          <w:sz w:val="17"/>
        </w:rPr>
        <w:t xml:space="preserve">Zitiervorschlag: § 18 KAPrüfbV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https://recht.nulegal.eu/gesetze/KAPr%C3%BCfbV/18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