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KAPrüfbV — Beurteilung der Ertragslage</w:t>
      </w:r>
    </w:p>
    <w:p>
      <w:r>
        <w:rPr>
          <w:color w:val="555555"/>
          <w:sz w:val="18"/>
        </w:rPr>
        <w:t xml:space="preserve">Kapitalanlage-Prüfungsberichte-Verordnung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Prüfungsbericht ist die Entwicklung der Ertragslage zu beurteilen.</w:t>
      </w:r>
    </w:p>
    <w:p>
      <w:r>
        <w:t xml:space="preserve">(2) Auch über die Ertragslage der wesentlichen Geschäftssparten ist auf der Basis der Unterlagen der externen Kapitalverwaltungsgesellschaft zu berichten; dabei sind jeweils die wichtigsten Erfolgsquellen und Erfolgsfaktoren gesondert darzustellen. Soweit keine Spartenkalkulation vorhanden ist, ist es ausreichend, auf entsprechende vorhandene interne Informationen der Geschäftsleitung zurückzugreifen.</w:t>
      </w:r>
    </w:p>
    <w:p>
      <w:r>
        <w:rPr>
          <w:color w:val="555555"/>
          <w:sz w:val="17"/>
        </w:rPr>
        <w:t xml:space="preserve">Zitiervorschlag: § 17 KAPrüfbV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https://recht.nulegal.eu/gesetze/KAPr%C3%BCfbV/17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