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KAPrüfbV — Geschäftliche Entwicklung im Berichtsjahr</w:t>
      </w:r>
    </w:p>
    <w:p>
      <w:r>
        <w:rPr>
          <w:color w:val="555555"/>
          <w:sz w:val="18"/>
        </w:rPr>
        <w:t xml:space="preserve">Kapitalanlage-Prüfungsberichte-Verordnung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Prüfungsbericht ist die geschäftliche Entwicklung der externen Kapitalverwaltungsgesellschaft darzustellen und zu erläutern. Dabei sind die die geschäftliche Entwicklung kennzeichnenden Zahlen des Berichtsjahres und die des Vorjahres gegenüberzustellen.</w:t>
      </w:r>
    </w:p>
    <w:p>
      <w:r>
        <w:rPr>
          <w:color w:val="555555"/>
          <w:sz w:val="17"/>
        </w:rPr>
        <w:t xml:space="preserve">Zitiervorschlag: § 15 KAPrüfbV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https://recht.nulegal.eu/gesetze/KAPr%C3%BCfbV/15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