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KAPrüfbV — Einhaltung der Pflichten nach der Verordnung (EU) 2019/2088 und nach der Verordnung (EU) 2020/852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Der Abschlussprüfer hat die Erfüllung der Transparenzanforderungen</w:t>
      </w:r>
    </w:p>
    <w:p>
      <w:pPr>
        <w:ind w:left="420"/>
      </w:pPr>
      <w:r>
        <w:t xml:space="preserve">1. nach den Artikeln 3 bis 13 der Verordnung (EU) 2019/2088 des Europäischen Parlaments und des Rates vom 27. November 2019 über nachhaltigkeitsbezogene Offenlegungspflichten im Finanzdienstleistungssektor (ABl. L 317 vom 9.12.2019, S. 1), die durch die Verordnung (EU) 2020/852 (ABl. L 198 vom 22.6.2020, S. 13) geändert worden ist, und</w:t>
      </w:r>
    </w:p>
    <w:p>
      <w:pPr>
        <w:ind w:left="420"/>
      </w:pPr>
      <w:r>
        <w:t xml:space="preserve">2. nach den Artikeln 5 bis 7 der Verordnung (EU) 2020/852 des Europäischen Parlaments und des Rates vom 18. Juni 2020 über die Einrichtung eines Rahmens zur Erleichterung nachhaltiger Investitionen und zur Änderung der Verordnung (EU) 2019/2088 (ABl. L 198 vom 22.6.2020, S. 13),</w:t>
      </w:r>
    </w:p>
    <w:p>
      <w:r>
        <w:t xml:space="preserve">zu beurteilen.</w:t>
      </w:r>
    </w:p>
    <w:p>
      <w:r>
        <w:rPr>
          <w:color w:val="555555"/>
          <w:sz w:val="17"/>
        </w:rPr>
        <w:t xml:space="preserve">Zitiervorschlag: § 14a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