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KAPrüfbV — Anzeigewesen und Meldepflichten</w:t>
      </w:r>
    </w:p>
    <w:p>
      <w:r>
        <w:rPr>
          <w:color w:val="555555"/>
          <w:sz w:val="18"/>
        </w:rPr>
        <w:t xml:space="preserve">Kapitalanlage-Prüfungsberichte-Verordnung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Prüfungsbericht ist die Organisation des Anzeigewesens der Kapitalverwaltungsgesellschaft zu beurteilen. Es ist darauf einzugehen, ob die Anzeigen, insbesondere die nach § 34 des Kapitalanlagegesetzbuches, sowie die Meldungen nach den §§ 12 und 35 des Kapitalanlagegesetzbuches vollständig und richtig sind. Wurden wesentliche Verstöße gegen die Anzeigen- und Meldepflichten festgestellt, sind diese Verstöße anzugeben.</w:t>
      </w:r>
    </w:p>
    <w:p>
      <w:r>
        <w:rPr>
          <w:color w:val="555555"/>
          <w:sz w:val="17"/>
        </w:rPr>
        <w:t xml:space="preserve">Zitiervorschlag: § 11 KAPrüfbV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https://recht.nulegal.eu/gesetze/KAPr%C3%BCfbV/11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