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KAPrüfbV — Anwendungsbereich</w:t>
      </w:r>
    </w:p>
    <w:p>
      <w:r>
        <w:rPr>
          <w:color w:val="555555"/>
          <w:sz w:val="18"/>
        </w:rPr>
        <w:t xml:space="preserve">Kapitalanlage-Prüfungsberichte-Verordnung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regelt insbesondere</w:t>
      </w:r>
    </w:p>
    <w:p>
      <w:pPr>
        <w:ind w:left="420"/>
      </w:pPr>
      <w:r>
        <w:t xml:space="preserve">1. den Gegenstand der Prüfung von externen Kapitalverwaltungsgesellschaften, Investmentaktiengesellschaften, Investmentkommanditgesellschaften und Sondervermögen nach dem Kapitalanlagegesetzbuch,</w:t>
      </w:r>
    </w:p>
    <w:p>
      <w:pPr>
        <w:ind w:left="420"/>
      </w:pPr>
      <w:r>
        <w:t xml:space="preserve">2. den Inhalt der Prüfungsberichte sowie</w:t>
      </w:r>
    </w:p>
    <w:p>
      <w:pPr>
        <w:ind w:left="420"/>
      </w:pPr>
      <w:r>
        <w:t xml:space="preserve">3. die Art und den Umfang der Berichterstattung.</w:t>
      </w:r>
    </w:p>
    <w:p>
      <w:r>
        <w:rPr>
          <w:color w:val="555555"/>
          <w:sz w:val="17"/>
        </w:rPr>
        <w:t xml:space="preserve">Zitiervorschlag: § 1 KAPrüfbV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https://recht.nulegal.eu/gesetze/KAPr%C3%BCfbV/1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