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KAGBAuslAnzV — Inkrafttreten</w:t>
      </w:r>
    </w:p>
    <w:p>
      <w:r>
        <w:rPr>
          <w:color w:val="555555"/>
          <w:sz w:val="18"/>
        </w:rPr>
        <w:t xml:space="preserve">KAGB-Auslagerungsanzeigenverordnung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7 KAGBAuslAnzV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https://recht.nulegal.eu/gesetze/KAGBAuslAnzV/7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