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KAGBAuslAnzV — Zurückweisung von Daten</w:t>
      </w:r>
    </w:p>
    <w:p>
      <w:r>
        <w:rPr>
          <w:color w:val="555555"/>
          <w:sz w:val="18"/>
        </w:rPr>
        <w:t xml:space="preserve">KAGB-Auslagerungsanzeigenverordnung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(1) Die Bundesanstalt weist Datensätze zurück, die</w:t>
      </w:r>
    </w:p>
    <w:p>
      <w:pPr>
        <w:ind w:left="420"/>
      </w:pPr>
      <w:r>
        <w:t xml:space="preserve">1. nicht die nach § 3 vorgeschriebenen Formate aufweisen oder</w:t>
      </w:r>
    </w:p>
    <w:p>
      <w:pPr>
        <w:ind w:left="420"/>
      </w:pPr>
      <w:r>
        <w:t xml:space="preserve">2. keine oder eine fehlerhafte Unternehmenskennung nach § 4 beinhalten.</w:t>
      </w:r>
    </w:p>
    <w:p>
      <w:r>
        <w:t xml:space="preserve">Die Zurückweisung ist der Kapitalverwaltungsgesellschaft unverzüglich in elektronischer Form mitzuteilen.</w:t>
      </w:r>
    </w:p>
    <w:p>
      <w:r>
        <w:t xml:space="preserve">(2) Zurückgewiesene Datensätze gelten als nicht eingegangen. Die Mitteilung einer Zurückweisung nach Absatz 1 ist über das Kommunikationsverfahren nach § 2 Absatz 2 abrufbar.</w:t>
      </w:r>
    </w:p>
    <w:p>
      <w:r>
        <w:rPr>
          <w:color w:val="555555"/>
          <w:sz w:val="17"/>
        </w:rPr>
        <w:t xml:space="preserve">Zitiervorschlag: § 5 KAGBAuslAnzV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https://recht.nulegal.eu/gesetze/KAGBAuslAnzV/5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