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KAGBAuslAnzV — Unternehmenskennung</w:t>
      </w:r>
    </w:p>
    <w:p>
      <w:r>
        <w:rPr>
          <w:color w:val="555555"/>
          <w:sz w:val="18"/>
        </w:rPr>
        <w:t xml:space="preserve">KAGB-Auslagerungsanzeigenverordnung</w:t>
      </w:r>
    </w:p>
    <w:p>
      <w:r>
        <w:rPr>
          <w:color w:val="555555"/>
          <w:sz w:val="18"/>
        </w:rPr>
        <w:t xml:space="preserve">Stand: 29.11.2022 (konsolidierte Textfassung, kein amtliches Inkrafttretensdatum)</w:t>
      </w:r>
    </w:p>
    <w:p>
      <w:r>
        <w:t xml:space="preserve">(1) Bei der Übermittlung von Unterlagen haben sich die Kapitalverwaltungsgesellschaften gegenüber der Bundesanstalt durch eine Kennziffer zu identifizieren.</w:t>
      </w:r>
    </w:p>
    <w:p>
      <w:r>
        <w:t xml:space="preserve">(2) Die Kapitalverwaltungsgesellschaften haben die erforderlichen Vorkehrungen dafür zu treffen, dass sie eine Kennziffer gemäß Absatz 1 erhalten und eine ihnen einmal zugeteilte Kennziffer auf Dauer von ihnen verwendet werden darf.</w:t>
      </w:r>
    </w:p>
    <w:p>
      <w:r>
        <w:rPr>
          <w:color w:val="555555"/>
          <w:sz w:val="17"/>
        </w:rPr>
        <w:t xml:space="preserve">Zitiervorschlag: § 4 KAGBAuslAnzV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https://recht.nulegal.eu/gesetze/KAGBAuslAnzV/4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