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KAGBAuslAnzV — Datenformate</w:t>
      </w:r>
    </w:p>
    <w:p>
      <w:r>
        <w:rPr>
          <w:color w:val="555555"/>
          <w:sz w:val="18"/>
        </w:rPr>
        <w:t xml:space="preserve">KAGB-Auslagerungsanzeigenverordnung</w:t>
      </w:r>
    </w:p>
    <w:p>
      <w:r>
        <w:rPr>
          <w:color w:val="555555"/>
          <w:sz w:val="18"/>
        </w:rPr>
        <w:t xml:space="preserve">Stand: 29.11.2022 (konsolidierte Textfassung, kein amtliches Inkrafttretensdatum)</w:t>
      </w:r>
    </w:p>
    <w:p>
      <w:r>
        <w:t xml:space="preserve">Die Bundesanstalt veröffentlicht auf ihrer Internetseite die für eine elektronische Dateneinreichung jeweils zu verwendenden Datenformate.</w:t>
      </w:r>
    </w:p>
    <w:p>
      <w:r>
        <w:rPr>
          <w:color w:val="555555"/>
          <w:sz w:val="17"/>
        </w:rPr>
        <w:t xml:space="preserve">Zitiervorschlag: § 3 KAGBAuslAnzV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https://recht.nulegal.eu/gesetze/KAGBAuslAnzV/3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