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KAGBAuslAnzV — Geltungsbereich</w:t>
      </w:r>
    </w:p>
    <w:p>
      <w:r>
        <w:rPr>
          <w:color w:val="555555"/>
          <w:sz w:val="18"/>
        </w:rPr>
        <w:t xml:space="preserve">KAGB-Auslagerungsanzeigenverordnung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Diese Verordnung gilt für Anzeigen nach § 36 Absatz 2 und Absatz 6 Satz 1 Nummer 2 und Satz 2 des Kapitalanlagegesetzbuchs.</w:t>
      </w:r>
    </w:p>
    <w:p>
      <w:r>
        <w:rPr>
          <w:color w:val="555555"/>
          <w:sz w:val="17"/>
        </w:rPr>
        <w:t xml:space="preserve">Zitiervorschlag: § 1 KAGBAuslAnzV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https://recht.nulegal.eu/gesetze/KAGBAuslAnzV/1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KAGBAuslAnzV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