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97 KAGB — Sammelverwahrung, Verlust von Anteilscheinen</w:t>
      </w:r>
    </w:p>
    <w:p>
      <w:r>
        <w:rPr>
          <w:color w:val="555555"/>
          <w:sz w:val="18"/>
        </w:rPr>
        <w:t xml:space="preserve">Kapitalanlagegesetzbuch</w:t>
      </w:r>
    </w:p>
    <w:p>
      <w:r>
        <w:rPr>
          <w:color w:val="555555"/>
          <w:sz w:val="18"/>
        </w:rPr>
        <w:t xml:space="preserve">Stand: 03.01.2024 (konsolidierte Textfassung, kein amtliches Inkrafttretensdatum)</w:t>
      </w:r>
    </w:p>
    <w:p>
      <w:r>
        <w:t xml:space="preserve">(1) Namensanteilscheine sowie dem jeweiligen Namensanteilschein zugehörige, noch nicht fällige Gewinnanteilscheine dürfen in Sammelverwahrung im Sinne des Depotgesetzes nur genommen werden, wenn sie blanko indossiert sind. Inhaberanteilscheine sowie dem jeweiligen Inhaberanteilschein zugehörige, noch nicht fällige Gewinnanteilscheine sind einer der folgenden Stellen zur Sammelverwahrung anzuvertrauen:</w:t>
      </w:r>
    </w:p>
    <w:p>
      <w:pPr>
        <w:ind w:left="420"/>
      </w:pPr>
      <w:r>
        <w:t xml:space="preserve">1. einer Wertpapiersammelbank im Sinne des § 1 Absatz 3 Satz 1 des Depotgesetzes,</w:t>
      </w:r>
    </w:p>
    <w:p>
      <w:pPr>
        <w:ind w:left="420"/>
      </w:pPr>
      <w:r>
        <w:t xml:space="preserve">2. einem zugelassenen Zentralverwahrer oder einem anerkannten Drittland-Zentralverwahrer gemäß der Verordnung (EU) Nr. 909/2014 oder</w:t>
      </w:r>
    </w:p>
    <w:p>
      <w:pPr>
        <w:ind w:left="420"/>
      </w:pPr>
      <w:r>
        <w:t xml:space="preserve">3. einem sonstigen ausländischen Verwahrer, der die Voraussetzungen des § 5 Absatz 4 Satz 1 des Depotgesetzes erfüllt.</w:t>
      </w:r>
    </w:p>
    <w:p>
      <w:r>
        <w:t xml:space="preserve">(2) Ist ein Anteilschein abhanden gekommen oder vernichtet, so kann die Urkunde, wenn nicht das Gegenteil darin bestimmt ist, im Aufgebotsverfahren für kraftlos erklärt werden. § 799 Absatz 2 und § 800 des Bürgerlichen Gesetzbuchs gelten sinngemäß. Sind Gewinnanteilscheine auf den Inhaber ausgegeben, so erlischt mit der Kraftloserklärung des Anteilscheins auch der Anspruch aus den noch nicht fälligen Gewinnanteilscheinen.</w:t>
      </w:r>
    </w:p>
    <w:p>
      <w:r>
        <w:t xml:space="preserve">(3) Ist ein Anteilschein infolge einer Beschädigung oder einer Verunstaltung nicht mehr zum Umlauf geeignet, so kann der Berechtigte, wenn der wesentliche Inhalt und die Unterscheidungsmerkmale der Urkunde noch mit Sicherheit erkennbar sind, von der Gesellschaft die Erteilung einer neuen Urkunde gegen Aushändigung der alten verlangen. Die Kosten hat er zu tragen und vorzuschießen.</w:t>
      </w:r>
    </w:p>
    <w:p>
      <w:r>
        <w:t xml:space="preserve">(4) Neue Gewinnanteilscheine dürfen an den Inhaber des Erneuerungsscheins nicht ausgeben werden, wenn der Besitzer des Anteilscheins der Ausgabe widerspricht. In diesem Fall sind die Scheine dem Besitzer des Anteilscheins auszuhändigen, wenn er die Haupturkunde vorlegt.</w:t>
      </w:r>
    </w:p>
    <w:p>
      <w:r>
        <w:rPr>
          <w:color w:val="555555"/>
          <w:sz w:val="17"/>
        </w:rPr>
        <w:t xml:space="preserve">Zitiervorschlag: § 97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