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 KAGB — Stimmrechtsausübung</w:t>
      </w:r>
    </w:p>
    <w:p>
      <w:r>
        <w:rPr>
          <w:color w:val="555555"/>
          <w:sz w:val="18"/>
        </w:rPr>
        <w:t xml:space="preserve">Kapitalanlagegesetzbuch</w:t>
      </w:r>
    </w:p>
    <w:p>
      <w:r>
        <w:rPr>
          <w:color w:val="555555"/>
          <w:sz w:val="18"/>
        </w:rPr>
        <w:t xml:space="preserve">Stand: 10.06.2019 (konsolidierte Textfassung, kein amtliches Inkrafttretensdatum)</w:t>
      </w:r>
    </w:p>
    <w:p>
      <w:r>
        <w:t xml:space="preserve">Die Kapitalverwaltungsgesellschaft bedarf zur Ausübung des Stimmrechts aus den zu einem Sondervermögen gehörenden Aktien keiner schriftlichen Vollmacht der Anleger. § 129 Absatz 3 des Aktiengesetzes ist entsprechend anzuwenden. Die Kapitalverwaltungsgesellschaft soll das Stimmrecht aus Aktien von Gesellschaften, die ihren Sitz im Geltungsbereich dieses Gesetzes haben, im Regelfall selbst ausüben. Das Stimmrecht kann für den Einzelfall durch einen Bevollmächtigten ausgeübt werden; dabei sollen ihm Weisungen für die Ausübung erteilt werden. Ein unabhängiger Stimmrechtsvertreter kann auf Dauer und ohne Weisungen für die Stimmrechtsausübungen bevollmächtigt werden.</w:t>
      </w:r>
    </w:p>
    <w:p>
      <w:r>
        <w:rPr>
          <w:color w:val="555555"/>
          <w:sz w:val="17"/>
        </w:rPr>
        <w:t xml:space="preserve">Zitiervorschlag: § 94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