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92 KAGB — Sondervermögen</w:t>
      </w:r>
    </w:p>
    <w:p>
      <w:r>
        <w:rPr>
          <w:color w:val="555555"/>
          <w:sz w:val="18"/>
        </w:rPr>
        <w:t xml:space="preserve">Kapitalanlagegesetzbuch</w:t>
      </w:r>
    </w:p>
    <w:p>
      <w:r>
        <w:rPr>
          <w:color w:val="555555"/>
          <w:sz w:val="18"/>
        </w:rPr>
        <w:t xml:space="preserve">Stand: 10.06.2019 (konsolidierte Textfassung, kein amtliches Inkrafttretensdatum)</w:t>
      </w:r>
    </w:p>
    <w:p>
      <w:r>
        <w:t xml:space="preserve">(1) Die zum Sondervermögen gehörenden Vermögensgegenstände können nach Maßgabe der Anlagebedingungen im Eigentum der Kapitalverwaltungsgesellschaft oder im Miteigentum der Anleger stehen. Das Sondervermögen ist von dem eigenen Vermögen der Kapitalverwaltungsgesellschaft getrennt zu halten.</w:t>
      </w:r>
    </w:p>
    <w:p>
      <w:r>
        <w:t xml:space="preserve">(2) Zum Sondervermögen gehört auch alles, was die Kapitalverwaltungsgesellschaft auf Grund eines zum Sondervermögen gehörenden Rechts oder durch ein Rechtsgeschäft erwirbt, das sich auf das Sondervermögen bezieht, oder was derjenige, dem das Sondervermögen zusteht, als Ersatz für ein zum Sondervermögen gehörendes Recht erwirbt.</w:t>
      </w:r>
    </w:p>
    <w:p>
      <w:r>
        <w:t xml:space="preserve">(3) Die Kapitalverwaltungsgesellschaft darf mehrere Sondervermögen bilden. Diese haben sich durch ihre Bezeichnung zu unterscheiden und sind getrennt zu halten.</w:t>
      </w:r>
    </w:p>
    <w:p>
      <w:r>
        <w:t xml:space="preserve">(4) Auf das Rechtsverhältnis zwischen den Anlegern und der Kapitalverwaltungsgesellschaft ist das Depotgesetz nicht anzuwenden.</w:t>
      </w:r>
    </w:p>
    <w:p>
      <w:r>
        <w:t xml:space="preserve">(5) Vermögen, die von der Kapitalverwaltungsgesellschaft gemäß § 20 Absatz 2 Nummer 1 oder gemäß § 20 Absatz 3 Nummer 1 oder 2 verwaltet werden, bilden keine Sondervermögen.</w:t>
      </w:r>
    </w:p>
    <w:p>
      <w:r>
        <w:rPr>
          <w:color w:val="555555"/>
          <w:sz w:val="17"/>
        </w:rPr>
        <w:t xml:space="preserve">Zitiervorschlag: § 92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https://recht.nulegal.eu/gesetze/KAGB/92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