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KAGB — Haftung</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Verwahrstelle haftet gegenüber dem inländischen AIF oder gegenüber den Anlegern des inländischen AIF für das Abhandenkommen eines verwahrten Finanzinstrumentes durch die Verwahrstelle oder durch einen Unterverwahrer, dem die Verwahrung von Finanzinstrumenten nach § 81 Absatz 1 Nummer 1 übertragen wurde. Im Fall eines solchen Abhandenkommens hat die Verwahrstelle dem inländischen AIF oder der für Rechnung des inländischen AIF handelnden AIF-Verwaltungsgesellschaft unverzüglich ein Finanzinstrument gleicher Art zurückzugeben oder einen entsprechenden Betrag zu erstatten. Die Verwahrstelle haftet nicht, wenn sie nachweisen kann, dass das Abhandenkommen auf äußere Ereignisse zurückzuführen ist, deren Konsequenzen trotz aller angemessenen Gegenmaßnahmen unabwendbar waren. Weitergehende Ansprüche, die sich aus den Vorschriften des bürgerlichen Rechts auf Grund von Verträgen oder unerlaubten Handlungen ergeben, bleiben unberührt.</w:t>
      </w:r>
    </w:p>
    <w:p>
      <w:r>
        <w:t xml:space="preserve">(2) Die Verwahrstelle haftet auch gegenüber dem inländischen AIF oder den Anlegern des inländischen AIF für sämtliche sonstigen Verluste, die diese dadurch erleiden, dass die Verwahrstelle ihre Verpflichtungen nach diesem Gesetz fahrlässig oder vorsätzlich nicht erfüllt.</w:t>
      </w:r>
    </w:p>
    <w:p>
      <w:r>
        <w:t xml:space="preserve">(3) Die Haftung der Verwahrstelle bleibt von einer etwaigen Übertragung gemäß § 82 unberührt.</w:t>
      </w:r>
    </w:p>
    <w:p>
      <w:r>
        <w:t xml:space="preserve">(4) Unbeschadet des Absatzes 3 kann sich die Verwahrstelle bei einem Abhandenkommen von Finanzinstrumenten eines inländischen Spezial-AIF, die von einem Unterverwahrer nach § 82 verwahrt wurden, von der Haftung befreien, wenn sie nachweisen kann, dass</w:t>
      </w:r>
    </w:p>
    <w:p>
      <w:pPr>
        <w:ind w:left="420"/>
      </w:pPr>
      <w:r>
        <w:t xml:space="preserve">1. alle Bedingungen für die Auslagerung ihrer Verwahraufgaben nach § 82 erfüllt sind,</w:t>
      </w:r>
    </w:p>
    <w:p>
      <w:pPr>
        <w:ind w:left="420"/>
      </w:pPr>
      <w:r>
        <w:t xml:space="preserve">2. es einen in Textform geschlossenen Vertrag zwischen der Verwahrstelle und dem Unterverwahrer gibt,</w:t>
      </w:r>
    </w:p>
    <w:p>
      <w:pPr>
        <w:ind w:left="780"/>
      </w:pPr>
      <w:r>
        <w:t xml:space="preserve">a) in dem die Haftung der Verwahrstelle ausdrücklich auf diesen Unterverwahrer übertragen wird und</w:t>
      </w:r>
    </w:p>
    <w:p>
      <w:pPr>
        <w:ind w:left="780"/>
      </w:pPr>
      <w:r>
        <w:t xml:space="preserve">b) der es dem inländischen Spezial-AIF oder der für Rechnung des inländischen Spezial-AIF handelnden AIF-Verwaltungsgesellschaft ermöglicht, seinen oder ihren Anspruch wegen des Abhandenkommens von Finanzinstrumenten gegenüber dem Unterverwahrer geltend zu machen oder der es der Verwahrstelle ermöglicht, solch einen Anspruch für sie geltend zu machen und</w:t>
      </w:r>
    </w:p>
    <w:p>
      <w:pPr>
        <w:ind w:left="420"/>
      </w:pPr>
      <w:r>
        <w:t xml:space="preserve">3. es einen schriftlichen Vertrag zwischen der Verwahrstelle und dem inländischen Spezial-AIF oder der für Rechnung des inländischen Spezial-AIF handelnden AIF-Verwaltungsgesellschaft gibt, in dem eine Haftungsbefreiung der Verwahrstelle ausdrücklich gestattet ist und ein objektiver Grund für die vertragliche Vereinbarung einer solchen Haftungsbefreiung angegeben wird.</w:t>
      </w:r>
    </w:p>
    <w:p>
      <w:r>
        <w:t xml:space="preserve">(5) Wenn nach den Rechtsvorschriften eines Drittstaates vorgeschrieben ist, dass bestimmte Finanzinstrumente von einer ortsansässigen Einrichtung verwahrt werden müssen und es keine ortsansässigen Einrichtungen gibt, die die Anforderungen für eine Auslagerung nach § 82 Absatz 1 Nummer 4 Buchstabe b erfüllen, kann die Verwahrstelle sich bei der Verwahrung von Vermögenswerten von Spezial-AIF von der Haftung befreien, sofern die folgenden Bedingungen eingehalten sind:</w:t>
      </w:r>
    </w:p>
    <w:p>
      <w:pPr>
        <w:ind w:left="420"/>
      </w:pPr>
      <w:r>
        <w:t xml:space="preserve">1. die Anlagebedingungen, die Satzung oder der Gesellschaftsvertrag des betreffenden inländischen Spezial-AIF erlauben ausdrücklich eine Haftungsbefreiung unter den in diesem Absatz genannten Voraussetzungen,</w:t>
      </w:r>
    </w:p>
    <w:p>
      <w:pPr>
        <w:ind w:left="420"/>
      </w:pPr>
      <w:r>
        <w:t xml:space="preserve">2. die AIF-Verwaltungsgesellschaft hat die Anleger des entsprechenden inländischen Spezial-AIF vor Tätigung ihrer Anlage ordnungsgemäß über diese Haftungsbefreiung und die Umstände, die diese Haftungsbefreiung rechtfertigen, unterrichtet,</w:t>
      </w:r>
    </w:p>
    <w:p>
      <w:pPr>
        <w:ind w:left="420"/>
      </w:pPr>
      <w:r>
        <w:t xml:space="preserve">3. der inländische Spezial-AIF oder die für Rechnung des inländischen Spezial-AIF tätige AIF-Verwaltungsgesellschaft hat die Verwahrstelle angewiesen, die Verwahrung dieser Finanzinstrumente einer ortsansässigen Einrichtung zu übertragen,</w:t>
      </w:r>
    </w:p>
    <w:p>
      <w:pPr>
        <w:ind w:left="420"/>
      </w:pPr>
      <w:r>
        <w:t xml:space="preserve">4. es gibt einen in Textform geschlossenen Vertrag zwischen der Verwahrstelle und dem inländischen Spezial-AIF oder der für Rechnung des inländischen Spezial-AIF tätigen AIF-Verwaltungsgesellschaft, in dem solch eine Haftungsbefreiung ausdrücklich gestattet ist und</w:t>
      </w:r>
    </w:p>
    <w:p>
      <w:pPr>
        <w:ind w:left="420"/>
      </w:pPr>
      <w:r>
        <w:t xml:space="preserve">5. es gibt einen schriftlichen Vertrag zwischen der Verwahrstelle und dem Unterverwahrer,</w:t>
      </w:r>
    </w:p>
    <w:p>
      <w:pPr>
        <w:ind w:left="780"/>
      </w:pPr>
      <w:r>
        <w:t xml:space="preserve">a) in dem die Haftung der Verwahrstelle ausdrücklich auf den Unterverwahrer übertragen wird und</w:t>
      </w:r>
    </w:p>
    <w:p>
      <w:pPr>
        <w:ind w:left="780"/>
      </w:pPr>
      <w:r>
        <w:t xml:space="preserve">b) der es dem inländischen Spezial-AIF oder der für Rechnung des inländischen Spezial-AIF tätigen AIF-Verwaltungsgesellschaft ermöglicht, seinen oder ihren Anspruch wegen des Abhandenkommens von Finanzinstrumenten gegenüber dem Unterverwahrer geltend zu machen oder der es der Verwahrstelle ermöglicht, solch einen Anspruch für sie geltend zu machen.</w:t>
      </w:r>
    </w:p>
    <w:p>
      <w:r>
        <w:t xml:space="preserve">(6) Die Artikel 100 bis 102 der Delegierten Verordnung (EU) Nr. 231/2013 bestimmen näher</w:t>
      </w:r>
    </w:p>
    <w:p>
      <w:pPr>
        <w:ind w:left="420"/>
      </w:pPr>
      <w:r>
        <w:t xml:space="preserve">1. die Bedingungen und Umstände, unter denen verwahrte Finanzinstrumente als abhandengekommen anzusehen sind,</w:t>
      </w:r>
    </w:p>
    <w:p>
      <w:pPr>
        <w:ind w:left="420"/>
      </w:pPr>
      <w:r>
        <w:t xml:space="preserve">2. was unter äußeren Ereignissen, deren Konsequenzen trotz aller angemessenen Gegenmaßnahmen nach Absatz 1 unabwendbar gewesen wären, zu verstehen ist sowie</w:t>
      </w:r>
    </w:p>
    <w:p>
      <w:pPr>
        <w:ind w:left="420"/>
      </w:pPr>
      <w:r>
        <w:t xml:space="preserve">3. die Bedingungen und Umstände, unter denen ein objektiver Grund für die vertragliche Vereinbarung einer Haftungsbefreiung nach Absatz 4 vorliegt.</w:t>
      </w:r>
    </w:p>
    <w:p>
      <w:r>
        <w:rPr>
          <w:color w:val="555555"/>
          <w:sz w:val="17"/>
        </w:rPr>
        <w:t xml:space="preserve">Zitiervorschlag: § 88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