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KAGB — Zustimmungspflichtige Geschäfte</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AIF-Kapitalverwaltungsgesellschaft darf die nachstehenden Geschäfte im Hinblick auf Publikums-AIF nur mit Zustimmung der Verwahrstelle durchführen:</w:t>
      </w:r>
    </w:p>
    <w:p>
      <w:pPr>
        <w:ind w:left="420"/>
      </w:pPr>
      <w:r>
        <w:t xml:space="preserve">1. die Aufnahme von Krediten nach Maßgabe der §§ 199, 221 Absatz 6, der §§ 254 und 263 Absatz 1, soweit es sich nicht um valutarische Überziehungen handelt,</w:t>
      </w:r>
    </w:p>
    <w:p>
      <w:pPr>
        <w:ind w:left="420"/>
      </w:pPr>
      <w:r>
        <w:t xml:space="preserve">2. die Anlage von Mitteln des Publikums-AIF in Bankguthaben bei anderen Kreditinstituten sowie Verfügungen über solche Bankguthaben,</w:t>
      </w:r>
    </w:p>
    <w:p>
      <w:pPr>
        <w:ind w:left="420"/>
      </w:pPr>
      <w:r>
        <w:t xml:space="preserve">3. die Verfügung über zum offenen Immobilien-Investmentvermögen gehörende Immobilien und zum geschlossenen Publikums-AIF gehörende Vermögensgegenstände im Sinne des § 261 Absatz 1 Nummer 1,</w:t>
      </w:r>
    </w:p>
    <w:p>
      <w:pPr>
        <w:ind w:left="420"/>
      </w:pPr>
      <w:r>
        <w:t xml:space="preserve">4. die Belastung von in Nummer 3 genannten Vermögensgegenständen sowie die Abtretung von Forderungen aus Rechtsverhältnissen, die sich auf diese Vermögensgegenstände beziehen und</w:t>
      </w:r>
    </w:p>
    <w:p>
      <w:pPr>
        <w:ind w:left="420"/>
      </w:pPr>
      <w:r>
        <w:t xml:space="preserve">5. Verfügungen über Beteiligungen an Gesellschaften im Sinne des § 1 Absatz 19 Nummer 22 oder des § 261 Absatz 1 Nummer 3 oder, wenn es sich nicht um eine Minderheitsbeteiligung handelt, die Verfügung über zum Vermögen dieser Gesellschaften gehörende Vermögensgegenstände im Sinne des § 231 Absatz 1 oder des § 261 Absatz 1 Nummer 1 sowie Änderungen des Gesellschaftsvertrages oder der Satzung.</w:t>
      </w:r>
    </w:p>
    <w:p>
      <w:r>
        <w:t xml:space="preserve">(2) Die Verwahrstelle hat den Geschäften nach Absatz 1 zuzustimmen, wenn diese den dort genannten Anforderungen entsprechen und mit den weiteren Vorschriften dieses Gesetzes und mit den Anlagebedingungen übereinstimmen. Stimmt sie einer Verfügung zu, obwohl die Bedingungen von Satz 1 nicht erfüllt sind, berührt dies nicht die Wirksamkeit der Verfügung. Eine Verfügung ohne Zustimmung der Verwahrstelle ist gegenüber den Anlegern unwirksam. Die Vorschriften zugunsten derjenigen, welche Rechte von einem Nichtberechtigten herleiten, sind entsprechend anzuwenden.</w:t>
      </w:r>
    </w:p>
    <w:p>
      <w:r>
        <w:rPr>
          <w:color w:val="555555"/>
          <w:sz w:val="17"/>
        </w:rPr>
        <w:t xml:space="preserve">Zitiervorschlag: § 84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