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81 KAGB — Verwahrung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Verwahrstelle hat die Vermögensgegenstände des inländischen AIF oder der für Rechnung des inländischen AIF handelnden AIF-Verwaltungsgesellschaft wie folgt zu verwahren:</w:t>
      </w:r>
    </w:p>
    <w:p>
      <w:pPr>
        <w:ind w:left="420"/>
      </w:pPr>
      <w:r>
        <w:t xml:space="preserve">1. für Finanzinstrumente im Sinne der Richtlinie 2011/61/EU, die in Verwahrung genommen werden können, gilt:</w:t>
      </w:r>
    </w:p>
    <w:p>
      <w:pPr>
        <w:ind w:left="780"/>
      </w:pPr>
      <w:r>
        <w:t xml:space="preserve">a) die Verwahrstelle verwahrt sämtliche Finanzinstrumente, die im Depot auf einem Konto für Finanzinstrumente verbucht werden können, und sämtliche Finanzinstrumente, die der Verwahrstelle physisch übergeben werden können;</w:t>
      </w:r>
    </w:p>
    <w:p>
      <w:pPr>
        <w:ind w:left="780"/>
      </w:pPr>
      <w:r>
        <w:t xml:space="preserve">b) zu diesem Zweck stellt die Verwahrstelle sicher, dass alle Finanzinstrumente, die im Depot auf einem Konto für Finanzinstrumente verbucht werden können, nach den in Artikel 16 der Richtlinie 2006/73/EG festgelegten Grundsätzen in den Büchern der Verwahrstelle auf gesonderten Konten, die im Namen des inländischen AIF oder der für ihn tätigen AIF-Verwaltungsgesellschaft eröffnet wurden, registriert werden, so dass die Finanzinstrumente jederzeit nach geltendem Recht eindeutig als zum inländischen AIF gehörend identifiziert werden können;</w:t>
      </w:r>
    </w:p>
    <w:p>
      <w:pPr>
        <w:ind w:left="420"/>
      </w:pPr>
      <w:r>
        <w:t xml:space="preserve">2. für sonstige Vermögensgegenstände gilt:</w:t>
      </w:r>
    </w:p>
    <w:p>
      <w:pPr>
        <w:ind w:left="780"/>
      </w:pPr>
      <w:r>
        <w:t xml:space="preserve">a) die Verwahrstelle prüft das Eigentum des inländischen AIF oder der für Rechnung des inländischen AIF tätigen AIF-Verwaltungsgesellschaft an solchen Vermögensgegenständen und führt Aufzeichnungen derjenigen Vermögensgegenstände, bei denen sie sich vergewissert hat, dass der inländische AIF oder die für Rechnung des inländischen AIF tätige AIF-Verwaltungsgesellschaft an diesen Vermögensgegenständen das Eigentum hat;</w:t>
      </w:r>
    </w:p>
    <w:p>
      <w:pPr>
        <w:ind w:left="780"/>
      </w:pPr>
      <w:r>
        <w:t xml:space="preserve">b) die Beurteilung, ob der inländische AIF oder die für Rechnung des inländischen AIF tätige AIF-Verwaltungsgesellschaft Eigentümer oder Eigentümerin ist, beruht auf Informationen oder Unterlagen, die vom inländischen AIF oder von der AIF-Verwaltungsgesellschaft vorgelegt werden und, soweit verfügbar, auf externen Nachweisen;</w:t>
      </w:r>
    </w:p>
    <w:p>
      <w:pPr>
        <w:ind w:left="780"/>
      </w:pPr>
      <w:r>
        <w:t xml:space="preserve">c) die Verwahrstelle hält ihre Aufzeichnungen auf dem neuesten Stand.</w:t>
      </w:r>
    </w:p>
    <w:p>
      <w:r>
        <w:t xml:space="preserve">(2) Die Bedingungen für die Ausübung der Aufgaben einer Verwahrstelle nach Absatz 1, einschließlich</w:t>
      </w:r>
    </w:p>
    <w:p>
      <w:pPr>
        <w:ind w:left="420"/>
      </w:pPr>
      <w:r>
        <w:t xml:space="preserve">1. der Art der Finanzinstrumente, die nach Absatz 1 Nummer 1 von der Verwahrstelle verwahrt werden sollen,</w:t>
      </w:r>
    </w:p>
    <w:p>
      <w:pPr>
        <w:ind w:left="420"/>
      </w:pPr>
      <w:r>
        <w:t xml:space="preserve">2. der Bedingungen, unter denen die Verwahrstelle ihre Verwahraufgaben über bei einem Zentralverwahrer registrierte Finanzinstrumente ausüben kann, und</w:t>
      </w:r>
    </w:p>
    <w:p>
      <w:pPr>
        <w:ind w:left="420"/>
      </w:pPr>
      <w:r>
        <w:t xml:space="preserve">3. der Bedingungen, unter denen die Verwahrstelle in nominativer Form emittierte und beim Emittenten oder bei einer Registrierstelle registrierte Finanzinstrumente nach Absatz 1 Nummer 2 zu verwahren hat,</w:t>
      </w:r>
    </w:p>
    <w:p>
      <w:r>
        <w:t xml:space="preserve">bestimmen sich nach den Artikeln 85 bis 97 der Delegierten Verordnung (EU) Nr. 231/2013.</w:t>
      </w:r>
    </w:p>
    <w:p>
      <w:r>
        <w:rPr>
          <w:color w:val="555555"/>
          <w:sz w:val="17"/>
        </w:rPr>
        <w:t xml:space="preserve">Zitiervorschlag: § 81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https://recht.nulegal.eu/gesetze/KAGB/81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