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KAGB — Beauftragung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AIF-Kapitalverwaltungsgesellschaft hat sicherzustellen, dass für jeden von ihr verwalteten AIF eine Verwahrstelle im Sinne des Absatzes 2 oder, sofern die Voraussetzungen nach den Absätzen 3 und 4 erfüllt sind, eine Verwahrstelle im Sinne des Absatzes 3 beauftragt wird; § 55 bleibt unberührt. Die Beauftragung der Verwahrstelle ist in einem in Textform geschlossenen Vertrag zu vereinbaren. Der Vertrag regelt unter anderem den Informationsaustausch, der für erforderlich erachtet wird, damit die Verwahrstelle nach den Vorschriften dieses Gesetzes und gemäß den anderen einschlägigen Rechts- und Verwaltungsvorschriften ihren Aufgaben für den AIF, für den sie als Verwahrstelle beauftragt wurde, nachkommen kann.</w:t>
      </w:r>
    </w:p>
    <w:p>
      <w:r>
        <w:t xml:space="preserve">(2) Die Verwahrstelle ist</w:t>
      </w:r>
    </w:p>
    <w:p>
      <w:pPr>
        <w:ind w:left="420"/>
      </w:pPr>
      <w:r>
        <w:t xml:space="preserve">1. ein Kreditinstitut im Sinne des Artikels 4 Absatz 1 Nummer 1 der Verordnung (EU) Nr. 575/2013 mit satzungsmäßigem Sitz in der Europäischen Union oder in einem anderen Vertragsstaat des Abkommens über den Europäischen Wirtschaftsraum, das gemäß § 32 des Kreditwesengesetzes oder den im Herkunftsmitgliedstaat des EU-AIF anzuwendenden Vorschriften, die die Richtlinie 2013/36/EU umsetzen, zugelassen ist; als Verwahrstelle für inländische AIF kann auch eine Zweigniederlassung eines CRR-Kreditinstituts im Sinne des § 53b Absatz 1 Satz 1 des Kreditwesengesetzes im Geltungsbereich dieses Gesetzes beauftragt werden;</w:t>
      </w:r>
    </w:p>
    <w:p>
      <w:pPr>
        <w:ind w:left="420"/>
      </w:pPr>
      <w:r>
        <w:t xml:space="preserve">2. eine Wertpapierfirma im Sinne des Artikels 4 Absatz 1 Nummer 2 der Verordnung (EU) Nr. 575/2013 mit satzungsmäßigem Sitz in der Europäischen Union oder in einem anderen Vertragsstaat des Abkommens über den Europäischen Wirtschaftsraum, für die die Eigenkapitalanforderungen gemäß Artikel 92 der Verordnung (EU) Nr. 575/2013, einschließlich der Kapitalanforderungen für operationelle Risiken, gelten, die gemäß den Vorschriften, die die Richtlinie 2014/65/EU umsetzen, zugelassen ist und die auch die Nebendienstleistungen wie Verwahrung und Verwaltung von Finanzinstrumenten für Rechnung von Kunden gemäß Anhang I Abschnitt B Nummer 1 der Richtlinie 2014/65/EU erbringt; solche Wertpapierfirmen müssen in jedem Fall über Eigenmittel verfügen, die den in Artikel 28 Absatz 2 der Richtlinie 2013/36/EU genannten Betrag des Anfangskapitals nicht unterschreiten oder</w:t>
      </w:r>
    </w:p>
    <w:p>
      <w:pPr>
        <w:ind w:left="420"/>
      </w:pPr>
      <w:r>
        <w:t xml:space="preserve">3. eine andere Kategorie von Einrichtungen, die einer Beaufsichtigung und ständigen Überwachung unterliegen und die am 21. Juli 2011 unter eine der von den Mitgliedstaaten der Europäischen Union oder den anderen Vertragsstaaten des Abkommens über den Europäischen Wirtschaftsraum gemäß Artikel 23 Absatz 3 der Richtlinie 2009/65/EG festgelegten Kategorien von Einrichtungen fallen, aus denen eine Verwahrstelle gewählt werden kann.</w:t>
      </w:r>
    </w:p>
    <w:p>
      <w:r>
        <w:t xml:space="preserve">(3) Abweichend von Absatz 2 kann die Verwahrstelle für geschlossene AIF anstelle der in § 80 Absatz 2 Nummer 1 bis 3 genannten Einrichtungen auch ein Treuhänder sein, der die Aufgaben einer Verwahrstelle im Rahmen seiner beruflichen oder geschäftlichen Tätigkeit wahrnimmt, wenn</w:t>
      </w:r>
    </w:p>
    <w:p>
      <w:pPr>
        <w:ind w:left="420"/>
      </w:pPr>
      <w:r>
        <w:t xml:space="preserve">1. bei den geschlossenen AIF innerhalb von fünf Jahren nach Tätigung der ersten Anlagen keine Rücknahmerechte ausgeübt werden können,</w:t>
      </w:r>
    </w:p>
    <w:p>
      <w:pPr>
        <w:ind w:left="420"/>
      </w:pPr>
      <w:r>
        <w:t xml:space="preserve">2. die geschlossenen AIF im Einklang mit ihrer Hauptanlagestrategie in der Regel</w:t>
      </w:r>
    </w:p>
    <w:p>
      <w:pPr>
        <w:ind w:left="780"/>
      </w:pPr>
      <w:r>
        <w:t xml:space="preserve">a) nicht in Vermögensgegenstände investieren, die nach § 81 Absatz 1 Nummer 1 verwahrt werden müssen, oder</w:t>
      </w:r>
    </w:p>
    <w:p>
      <w:pPr>
        <w:ind w:left="780"/>
      </w:pPr>
      <w:r>
        <w:t xml:space="preserve">b) in Emittenten oder nicht börsennotierte Unternehmen investieren, um nach § 261 Absatz 7, den §§ 287, 288 möglicherweise die Kontrolle über solche Unternehmen zu erlangen.</w:t>
      </w:r>
    </w:p>
    <w:p>
      <w:r>
        <w:t xml:space="preserve">In Bezug auf die berufliche oder geschäftliche Tätigkeit muss der Treuhänder</w:t>
      </w:r>
    </w:p>
    <w:p>
      <w:pPr>
        <w:ind w:left="420"/>
      </w:pPr>
      <w:r>
        <w:t xml:space="preserve">1. einer gesetzlich anerkannten obligatorischen berufsmäßigen Registrierung oder</w:t>
      </w:r>
    </w:p>
    <w:p>
      <w:pPr>
        <w:ind w:left="420"/>
      </w:pPr>
      <w:r>
        <w:t xml:space="preserve">2. Rechts- und Verwaltungsvorschriften oder berufsständischen Regeln unterliegen,</w:t>
      </w:r>
    </w:p>
    <w:p>
      <w:r>
        <w:t xml:space="preserve">die ausreichend finanzielle und berufliche Garantien bieten können, um es ihm zu ermöglichen, die relevanten Aufgaben einer Verwahrstelle wirksam auszuführen und die mit diesen Funktionen einhergehenden Verpflichtungen zu erfüllen. Die ausreichende finanzielle und berufliche Garantie ist laufend zu gewährleisten. Der Treuhänder hat Änderungen, die seine finanziellen und beruflichen Garantien betreffen, der Bundesanstalt unverzüglich anzuzeigen. Sofern der Treuhänder zum Zwecke der finanziellen Garantie eine Versicherung abschließt, ist das Versicherungsunternehmen im Versicherungsvertrag zu verpflichten, der Bundesanstalt den Beginn und die Beendigung oder Kündigung des Versicherungsvertrages sowie Umstände, die den vorgeschriebenen Versicherungsschutz beeinträchtigen, unverzüglich über ein von ihr bereitgestelltes elektronisches Kommunikationsverfahren mitzuteilen.</w:t>
      </w:r>
    </w:p>
    <w:p>
      <w:r>
        <w:t xml:space="preserve">(4) Der Treuhänder im Sinne von Absatz 3 muss der Bundesanstalt vor Beauftragung benannt werden. Hat die Bundesanstalt gegen die Beauftragung Bedenken, kann sie verlangen, dass binnen angemessener Frist ein anderer Treuhänder benannt wird. Unterbleibt dies oder hat die Bundesanstalt auch gegen die Beauftragung des neu vorgeschlagenen Treuhänders Bedenken, so hat die AIF-Kapitalverwaltungsgesellschaft eine Verwahrstelle im Sinne von Absatz 2 zu beauftragen.</w:t>
      </w:r>
    </w:p>
    <w:p>
      <w:r>
        <w:t xml:space="preserve">(5) Unbeschadet von Absatz 6 Satz 3 kann die Verwahrstelle für ausländische AIF auch ein Kreditinstitut oder ein Unternehmen sein, das den in Absatz 2 Satz 1 Nummer 1 und 2 genannten Unternehmen vergleichbar ist, sofern die Bedingungen des Absatzes 8 Satz 1 Nummer 2 eingehalten sind.</w:t>
      </w:r>
    </w:p>
    <w:p>
      <w:r>
        <w:t xml:space="preserve">(6) Verwaltet die AIF-Kapitalverwaltungsgesellschaft einen inländischen AIF, muss die Verwahrstelle ihren satzungsmäßigen Sitz oder ihre satzungsmäßige Zweigniederlassung im Geltungsbereich dieses Gesetzes haben. Verwaltet die AIF-Kapitalverwaltungsgesellschaft einen EU-AIF, muss die Verwahrstelle ihren satzungsmäßigen Sitz oder ihre satzungsmäßige Zweigniederlassung im Herkunftsmitgliedstaat des EU-AIF haben, es sei denn, dieser Herkunftsmitgliedstaat hat von der Möglichkeit nach Artikel 21 Absatz 5a der Richtlinie 2011/61/EU Gebrauch gemacht. Bei ausländischen AIF kann die Verwahrstelle ihren satzungsmäßigen Sitz oder ihre satzungsmäßige Zweigniederlassung in dem Drittstaat haben, in dem der ausländische AIF seinen Sitz hat oder im Geltungsbereich dieses Gesetzes, wenn die AIF-Kapitalverwaltungsgesellschaft einen ausländischen AIF verwaltet oder in dem Referenzmitgliedstaat der ausländischen AIF-Verwaltungsgesellschaft, die den ausländischen AIF verwaltet; § 55 bleibt unberührt.</w:t>
      </w:r>
    </w:p>
    <w:p>
      <w:r>
        <w:t xml:space="preserve">(7) Wird für den inländischen AIF eine Verwahrstelle im Sinne des Absatzes 2 Nummer 1 beauftragt, muss es sich um ein CRR-Kreditinstitut im Sinne des § 1 Absatz 3d des Kreditwesengesetzes handeln, das über die Erlaubnis zum Betreiben des Depotgeschäfts nach § 1 Absatz 1 Satz 2 Nummer 5 des Kreditwesengesetzes oder zur Erbringung des eingeschränkten Verwahrgeschäfts nach § 1 Absatz 1a Satz 2 Nummer 12 des Kreditwesengesetzes verfügt. Wird für den inländischen AIF eine Verwahrstelle im Sinne des Absatzes 2 Nummer 2 beauftragt, muss es sich um ein Finanzdienstleistungsinstitut handeln, das über die Erlaubnis zum eingeschränkten Verwahrgeschäft nach § 1 Absatz 1a Satz 2 Nummer 12 des Kreditwesengesetzes verfügt; wird das in § 83 Absatz 6 Satz 2 aufgeführte Geldkonto bei der Verwahrstelle eröffnet, muss es sich bei der Verwahrstelle um ein Kreditinstitut handeln, das über die Erlaubnis zum Betreiben des Einlagengeschäfts nach § 1 Absatz 1 Satz 2 Nummer 1 des Kreditwesengesetzes verfügt.</w:t>
      </w:r>
    </w:p>
    <w:p>
      <w:r>
        <w:t xml:space="preserve">(8) Unbeschadet der Anforderungen der Absätze 2 bis 5 unterliegt die Beauftragung einer Verwahrstelle mit Sitz in einem Drittstaat den folgenden Bedingungen:</w:t>
      </w:r>
    </w:p>
    <w:p>
      <w:pPr>
        <w:ind w:left="420"/>
      </w:pPr>
      <w:r>
        <w:t xml:space="preserve">1. zwischen den zuständigen Behörden des Mitgliedstaates der Europäischen Union oder des anderen Vertragsstaates des Abkommens über den Europäischen Wirtschaftsraum, in dem die Anteile des ausländischen AIF gehandelt werden sollen, und, falls es sich um unterschiedliche Behörden handelt, den Behörden des Herkunftsmitgliedstaates der AIF-Kapitalverwaltungsgesellschaft oder der EU-AIF-Verwaltungsgesellschaft bestehen Vereinbarungen über die Zusammenarbeit und den Informationsaustausch mit den zuständigen Behörden der Verwahrstelle,</w:t>
      </w:r>
    </w:p>
    <w:p>
      <w:pPr>
        <w:ind w:left="420"/>
      </w:pPr>
      <w:r>
        <w:t xml:space="preserve">2. die Verwahrstelle unterliegt einer wirksamen Regulierung der Aufsichtsanforderungen, einschließlich Mindesteigenkapitalanforderungen, und einer Aufsicht, die jeweils den Rechtsvorschriften der Europäischen Union entsprechen und die wirksam durchgesetzt werden,</w:t>
      </w:r>
    </w:p>
    <w:p>
      <w:pPr>
        <w:ind w:left="420"/>
      </w:pPr>
      <w:r>
        <w:t xml:space="preserve">3. der Drittstaat, in dem die Verwahrstelle ihren Sitz hat, wird nicht als Drittstaat mit hohem Risiko nach Artikel 9 Absatz 2 der Richtlinie (EU) 2015/849 eingestuft,</w:t>
      </w:r>
    </w:p>
    <w:p>
      <w:pPr>
        <w:ind w:left="420"/>
      </w:pPr>
      <w:r>
        <w:t xml:space="preserve">4. die Mitgliedstaaten der Europäischen Union oder die anderen Vertragsstaaten des Abkommens über den Europäischen Wirtschaftsraum, in denen die Anteile des ausländischen AIF vertrieben werden sollen, und, soweit verschieden, der Herkunftsmitgliedstaat der AIF-Kapitalverwaltungsgesellschaft oder EU-AIF-Verwaltungsgesellschaft haben mit dem Drittstaat, in dem die Verwahrstelle ihren Sitz hat, eine Vereinbarung abgeschlossen, die den Standards des Artikels 26 des OECD-Musterabkommens zur Vermeidung der Doppelbesteuerung von Einkommen und Vermögen vollständig entspricht und einen wirksamen Informationsaustausch in Steuerangelegenheiten, einschließlich multilateraler Steuerabkommen, gewährleistet, und dieser Drittstaat ist nicht in Anhang I der Schlussfolgerungen des Rates zur überarbeiteten EU-Liste nicht kooperativer Länder und Gebiete für Steuerzwecke aufgeführt,</w:t>
      </w:r>
    </w:p>
    <w:p>
      <w:pPr>
        <w:ind w:left="420"/>
      </w:pPr>
      <w:r>
        <w:t xml:space="preserve">5. die Verwahrstelle haftet vertraglich gegenüber dem ausländischen AIF oder gegenüber den Anlegern des ausländischen AIF entsprechend § 88 Absatz 1 bis 4 und erklärt sich ausdrücklich zur Einhaltung von § 82 bereit.</w:t>
      </w:r>
    </w:p>
    <w:p>
      <w:r>
        <w:t xml:space="preserve">Ist eine zuständige Behörde eines anderen Mitgliedstaates der Europäischen Union oder eines anderen Vertragsstaates des Abkommens über den Europäischen Wirtschaftsraum nicht mit der Bewertung der Anwendung von Satz 1 Nummer 1, 3 oder 5 durch die zuständigen Behörden des Herkunftsmitgliedstaates der AIF-Kapitalverwaltungsgesellschaft oder EU-AIF-Verwaltungsgesellschaft einverstanden, kann die betreffende zuständige Behörde die Angelegenheit der Europäischen Wertpapier- und Marktaufsichtsbehörde zur Kenntnis bringen; diese kann nach den ihr durch Artikel 19 der Verordnung (EU) Nr. 1095/2010 übertragenen Befugnisse tätig werden. Abweichend vom einleitenden Teil von Satz 1 gelten die Bedingungen von Satz 1 Nummer 3 und 4 zum Zeitpunkt der Bestellung der Verwahrstelle. Wird ein Drittstaat, in dem eine Verwahrstelle ihren Sitz hat, entsprechend Satz 1 Nummer 3 als Drittstaat mit hohem Risiko nach Artikel 9 Absatz 2 der Richtlinie (EU) 2015/849 eingestuft oder entsprechend Satz 1 Nummer 4 in den Anhang I der Schlussfolgerungen des Rates zur überarbeiteten EU-Liste nicht kooperativer Länder und Gebiete für Steuerzwecke aufgenommen, so hat die AIF-Kapitalverwaltungsgesellschaft oder die EU-AIF-Verwaltungsgesellschaft innerhalb einer angemessenen Frist eine neue Verwahrstelle zu bestellen, wobei den Interessen der Anleger gebührend Rechnung zu tragen ist. Die Frist nach Satz 3 beträgt höchstens zwei Jahre.</w:t>
      </w:r>
    </w:p>
    <w:p>
      <w:r>
        <w:t xml:space="preserve">(9) Mindestens ein Geschäftsleiter der Einrichtung, die als Verwahrstelle beauftragt werden soll, muss über die für die Verwahrstellenaufgaben erforderliche Erfahrung verfügen. Diese Einrichtung muss bereit und in der Lage sein, die für die Erfüllung der Verwahrstellenaufgaben erforderlichen organisatorischen Vorkehrungen zu schaffen. Wird eine natürliche Person als Treuhänder nach den Absätzen 3 und 4 mit der Verwahrstellenfunktion beauftragt, muss dieser über die für die Verwahrstellenaufgaben erforderliche Erfahrung verfügen sowie die für die Erfüllung der Verwahrstellenaufgaben notwendigen organisatorischen Vorkehrungen schaffen.</w:t>
      </w:r>
    </w:p>
    <w:p>
      <w:r>
        <w:t xml:space="preserve">(10) Die in den in Absatz 1 genannten Vertrag aufzunehmenden Einzelheiten und die allgemeinen Kriterien zur Bewertung, ob die Anforderungen an die aufsichtliche Regulierung und an die Aufsicht in Drittstaaten nach Absatz 8 Satz 1 Nummer 2 den Rechtsvorschriften der Europäischen Union entsprechen und wirksam durchgesetzt werden, bestimmen sich nach den Artikeln 83 und 84 der Delegierten Verordnung (EU) Nr. 231/2013.</w:t>
      </w:r>
    </w:p>
    <w:p>
      <w:r>
        <w:rPr>
          <w:color w:val="555555"/>
          <w:sz w:val="17"/>
        </w:rPr>
        <w:t xml:space="preserve">Zitiervorschlag: § 80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