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KAGB — Vergütung, Aufwendungsersatz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Verwahrstelle darf der OGAW-Verwaltungsgesellschaft aus den zu einem inländischen OGAW gehörenden Konten nur die für die Verwaltung des inländischen OGAW zustehende Vergütung und den ihr zustehenden Ersatz von Aufwendungen auszahlen.</w:t>
      </w:r>
    </w:p>
    <w:p>
      <w:r>
        <w:t xml:space="preserve">(2) Die Verwahrstelle darf die Vergütung, die ihr für die Verwahrung des inländischen OGAW und die Wahrnehmung der Aufgaben nach Maßgabe dieses Gesetzes zusteht, nur mit Zustimmung der OGAW-Verwaltungsgesellschaft entnehmen.</w:t>
      </w:r>
    </w:p>
    <w:p>
      <w:r>
        <w:rPr>
          <w:color w:val="555555"/>
          <w:sz w:val="17"/>
        </w:rPr>
        <w:t xml:space="preserve">Zitiervorschlag: § 79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