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KAGB — Geltendmachung von Ansprüchen der Anleger; Verordnungsermächtigung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ist berechtigt und verpflichtet, im eigenen Namen</w:t>
      </w:r>
    </w:p>
    <w:p>
      <w:pPr>
        <w:ind w:left="420"/>
      </w:pPr>
      <w:r>
        <w:t xml:space="preserve">1. Ansprüche der Anleger wegen Verletzung der Vorschriften dieses Gesetzes oder der Anlagebedingungen gegen die OGAW-Kapitalverwaltungsgesellschaft geltend zu machen und</w:t>
      </w:r>
    </w:p>
    <w:p>
      <w:pPr>
        <w:ind w:left="420"/>
      </w:pPr>
      <w:r>
        <w:t xml:space="preserve">2. im Wege einer Klage nach § 771 der Zivilprozessordnung Widerspruch zu erheben, wenn in einen inländischen OGAW wegen eines Anspruchs vollstreckt wird, für den der inländische OGAW nicht haftet; die Anleger können nicht selbst Widerspruch gegen die Zwangsvollstreckung erheben.</w:t>
      </w:r>
    </w:p>
    <w:p>
      <w:r>
        <w:t xml:space="preserve">Satz 1 Nummer 1 schließt die Geltendmachung von Ansprüchen gegen die OGAW-Kapitalverwaltungsgesellschaft durch die Anleger nicht aus.</w:t>
      </w:r>
    </w:p>
    <w:p>
      <w:r>
        <w:t xml:space="preserve">(2) Die OGAW-Kapitalverwaltungsgesellschaft ist berechtigt und verpflichtet, im eigenen Namen Ansprüche der Anleger gegen die Verwahrstelle geltend zu machen. Satz 1 schließt die Geltendmachung von Ansprüchen gegen die Verwahrstelle durch die Anleger nicht aus.</w:t>
      </w:r>
    </w:p>
    <w:p>
      <w:r>
        <w:t xml:space="preserve">(3) Die OGAW-Kapitalverwaltungsgesellschaft hat unter Beteiligung der Verwahrstelle für die Fälle einer fehlerhaften Berechnung von Anteilswerten und ohne Beteiligung der Verwahrstelle für die Fälle einer Verletzung von Anlagegrenzen oder Erwerbsvorgaben bei einem inländischen OGAW geeignete Entschädigungsverfahren für die betroffenen Anleger vorzusehen. Die Verfahren müssen insbesondere die Erstellung eines Entschädigungsplans umfassen sowie die Prüfung des Entschädigungsplans und der Entschädigungsmaßnahmen durch einen Wirtschaftsprüfer vorsehen. Das Bundesministerium der Finanzen wird ermächtigt, durch Rechtsverordnung, die nicht der Zustimmung des Bundesrates bedarf, nähere Bestimmungen zu den Entschädigungsverfahren und deren Durchführung zu erlassen, insbesondere zu</w:t>
      </w:r>
    </w:p>
    <w:p>
      <w:pPr>
        <w:ind w:left="420"/>
      </w:pPr>
      <w:r>
        <w:t xml:space="preserve">1. Einzelheiten des Verfahrens einschließlich der Beteiligung der depotführenden Stellen des Anlegers und einer Mindesthöhe der fehlerhaften Berechnung des Anteilswertes, ab der das Entschädigungsverfahren durchzuführen ist, sowie gegebenenfalls zu den Einzelheiten eines vereinfachten Entschädigungsverfahrens bei Unterschreitung einer bestimmten Gesamtschadenshöhe,</w:t>
      </w:r>
    </w:p>
    <w:p>
      <w:pPr>
        <w:ind w:left="420"/>
      </w:pPr>
      <w:r>
        <w:t xml:space="preserve">2. den gegenüber einem betroffenen Anleger oder inländischen OGAW vorzunehmenden Entschädigungsmaßnahmen sowie gegebenenfalls zu Bagatellgrenzen, bei denen solche Entschädigungsmaßnahmen einen unverhältnismäßigen Aufwand verursachen würden,</w:t>
      </w:r>
    </w:p>
    <w:p>
      <w:pPr>
        <w:ind w:left="420"/>
      </w:pPr>
      <w:r>
        <w:t xml:space="preserve">3. Meldepflichten gegenüber der Bundesanstalt und gegebenenfalls gegenüber den zuständigen Stellen des Herkunftsstaates der einen inländischen OGAW verwaltenden EU-OGAW-Verwaltungsgesellschaft,</w:t>
      </w:r>
    </w:p>
    <w:p>
      <w:pPr>
        <w:ind w:left="420"/>
      </w:pPr>
      <w:r>
        <w:t xml:space="preserve">4. Informationspflichten gegenüber den betroffenen Anlegern,</w:t>
      </w:r>
    </w:p>
    <w:p>
      <w:pPr>
        <w:ind w:left="420"/>
      </w:pPr>
      <w:r>
        <w:t xml:space="preserve">5. Inhalt und Aufbau des zu erstellenden Entschädigungsplans und Einzelheiten der Entschädigungsmaßnahmen sowie</w:t>
      </w:r>
    </w:p>
    <w:p>
      <w:pPr>
        <w:ind w:left="420"/>
      </w:pPr>
      <w:r>
        <w:t xml:space="preserve">6. Inhalt und Umfang der Prüfung des Entschädigungsplans und der Entschädigungsmaßnahmen durch einen Wirtschaftsprüfer.</w:t>
      </w:r>
    </w:p>
    <w:p>
      <w:r>
        <w:t xml:space="preserve">Das Bundesministerium der Finanzen kann diese Ermächtigung durch Rechtsverordnung auf die Bundesanstalt übertragen.</w:t>
      </w:r>
    </w:p>
    <w:p>
      <w:r>
        <w:rPr>
          <w:color w:val="555555"/>
          <w:sz w:val="17"/>
        </w:rPr>
        <w:t xml:space="preserve">Zitiervorschlag: § 78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