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KAGB — Haftung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Verwahrstelle haftet gegenüber dem inländischen OGAW oder gegenüber den Anlegern des inländischen OGAW für das Abhandenkommen eines verwahrten Finanzinstrumentes durch die Verwahrstelle oder durch einen Unterverwahrer, dem die Verwahrung von Finanzinstrumenten nach § 72 Absatz 1 Nummer 1 übertragen wurde. Im Fall eines solchen Abhandenkommens hat die Verwahrstelle dem inländischen OGAW oder der für Rechnung des inländischen OGAW handelnden OGAW-Verwaltungsgesellschaft unverzüglich ein Finanzinstrument gleicher Art zurückzugeben oder einen entsprechenden Betrag zu erstatten. Die Verwahrstelle haftet nicht, wenn sie nachweisen kann, dass das Abhandenkommen auf äußere Ereignisse zurückzuführen ist, deren Konsequenzen trotz aller angemessenen Gegenmaßnahmen unabwendbar waren. Weitergehende Ansprüche, die sich aus den Vorschriften des bürgerlichen Rechts auf Grund von Verträgen oder unerlaubten Handlungen ergeben, bleiben unberührt.</w:t>
      </w:r>
    </w:p>
    <w:p>
      <w:r>
        <w:t xml:space="preserve">(2) Die Verwahrstelle haftet auch gegenüber dem inländischen OGAW oder den Anlegern des inländischen OGAW für sämtliche sonstigen Verluste, die diese dadurch erleiden, dass die Verwahrstelle fahrlässig oder vorsätzlich ihre Verpflichtungen nach diesem Gesetz nicht erfüllt.</w:t>
      </w:r>
    </w:p>
    <w:p>
      <w:r>
        <w:t xml:space="preserve">(3) Die Haftung der Verwahrstelle bleibt von einer etwaigen Übertragung gemäß § 73 unberührt.</w:t>
      </w:r>
    </w:p>
    <w:p>
      <w:r>
        <w:t xml:space="preserve">(4) Eine Vereinbarung, mit der die Haftung der Verwahrstelle nach den Absätzen 1, 2 oder 3 aufgehoben oder begrenzt werden soll, ist nichtig.</w:t>
      </w:r>
    </w:p>
    <w:p>
      <w:r>
        <w:t xml:space="preserve">(5) Für nähere Einzelheiten zu den Voraussetzungen, unter denen verwahrte Finanzinstrumente als abhandengekommen anzusehen sind, wird auf Artikel 18 der Delegierten Verordnung (EU) 2016/438 verwiesen. Für nähere Einzelheiten zu Voraussetzungen, unter denen die Verwahrstelle nach Absatz 1 Satz 3 von einer Haftung befreit ist, wird auf Artikel 19 der Delegierten Verordnung (EU) 2016/438 verwiesen.</w:t>
      </w:r>
    </w:p>
    <w:p>
      <w:r>
        <w:rPr>
          <w:color w:val="555555"/>
          <w:sz w:val="17"/>
        </w:rPr>
        <w:t xml:space="preserve">Zitiervorschlag: § 77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